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E70" w:rsidRPr="00053E70" w:rsidRDefault="00053E70" w:rsidP="00053E70">
      <w:pPr>
        <w:spacing w:after="0" w:line="240" w:lineRule="auto"/>
        <w:rPr>
          <w:rFonts w:ascii="Times New Roman" w:eastAsia="Times New Roman" w:hAnsi="Times New Roman" w:cs="Times New Roman"/>
          <w:sz w:val="24"/>
          <w:szCs w:val="24"/>
          <w:lang w:eastAsia="de-DE"/>
        </w:rPr>
      </w:pPr>
      <w:r w:rsidRPr="00053E70">
        <w:rPr>
          <w:rFonts w:ascii="Times New Roman" w:eastAsia="Times New Roman" w:hAnsi="Times New Roman" w:cs="Times New Roman"/>
          <w:sz w:val="24"/>
          <w:szCs w:val="24"/>
          <w:lang w:eastAsia="de-DE"/>
        </w:rPr>
        <w:t xml:space="preserve">Produktinformationen "Gitterboxtraverse Typ RGT" </w:t>
      </w:r>
    </w:p>
    <w:p w:rsidR="00053E70" w:rsidRPr="00053E70" w:rsidRDefault="00053E70" w:rsidP="00053E70">
      <w:pPr>
        <w:spacing w:before="100" w:beforeAutospacing="1" w:after="0" w:line="240" w:lineRule="auto"/>
        <w:rPr>
          <w:rFonts w:ascii="Times New Roman" w:eastAsia="Times New Roman" w:hAnsi="Times New Roman" w:cs="Times New Roman"/>
          <w:sz w:val="24"/>
          <w:szCs w:val="24"/>
          <w:lang w:eastAsia="de-DE"/>
        </w:rPr>
      </w:pPr>
      <w:r w:rsidRPr="00053E70">
        <w:rPr>
          <w:rFonts w:ascii="Times New Roman" w:eastAsia="Times New Roman" w:hAnsi="Times New Roman" w:cs="Times New Roman"/>
          <w:sz w:val="24"/>
          <w:szCs w:val="24"/>
          <w:lang w:eastAsia="de-DE"/>
        </w:rPr>
        <w:t>Die vornehmlich mit Gabelstaplern bewegten Norm-Gitterboxen nach DIN 15155 sind so stabil, dass sie von Traversenhaken am oberen Rahmen aufgenommen, mittels Kran gehoben und hängend transportiert werden können. Durch die Gitterboxtraverse Typ RGT  kann somit auch der Kran in den betrieblichen Behälter-Transport von Rohr-, Halbzeug- und Fertigkleinteilen eingefügt werden. Auch die Warenannahme und der Versand in Gitterboxen sind nicht mehr ausschließlich von den Flurförderzeugen abhängig.</w:t>
      </w:r>
    </w:p>
    <w:p w:rsidR="00053E70" w:rsidRPr="00053E70" w:rsidRDefault="00053E70" w:rsidP="00053E70">
      <w:pPr>
        <w:spacing w:before="100" w:beforeAutospacing="1" w:after="0" w:line="240" w:lineRule="auto"/>
        <w:rPr>
          <w:rFonts w:ascii="Times New Roman" w:eastAsia="Times New Roman" w:hAnsi="Times New Roman" w:cs="Times New Roman"/>
          <w:sz w:val="24"/>
          <w:szCs w:val="24"/>
          <w:lang w:eastAsia="de-DE"/>
        </w:rPr>
      </w:pPr>
      <w:r w:rsidRPr="00053E70">
        <w:rPr>
          <w:rFonts w:ascii="Times New Roman" w:eastAsia="Times New Roman" w:hAnsi="Times New Roman" w:cs="Times New Roman"/>
          <w:sz w:val="24"/>
          <w:szCs w:val="24"/>
          <w:lang w:eastAsia="de-DE"/>
        </w:rPr>
        <w:t xml:space="preserve">Die für den Einzeltransport bestimmte Ausführung hat jeweils zwei starre und zwei mit einer Griffstange verbundene, schwenkbare </w:t>
      </w:r>
      <w:proofErr w:type="spellStart"/>
      <w:r w:rsidRPr="00053E70">
        <w:rPr>
          <w:rFonts w:ascii="Times New Roman" w:eastAsia="Times New Roman" w:hAnsi="Times New Roman" w:cs="Times New Roman"/>
          <w:sz w:val="24"/>
          <w:szCs w:val="24"/>
          <w:lang w:eastAsia="de-DE"/>
        </w:rPr>
        <w:t>Aufhängebügel</w:t>
      </w:r>
      <w:proofErr w:type="spellEnd"/>
      <w:r w:rsidRPr="00053E70">
        <w:rPr>
          <w:rFonts w:ascii="Times New Roman" w:eastAsia="Times New Roman" w:hAnsi="Times New Roman" w:cs="Times New Roman"/>
          <w:sz w:val="24"/>
          <w:szCs w:val="24"/>
          <w:lang w:eastAsia="de-DE"/>
        </w:rPr>
        <w:t>. Sie kann von nur einem Anschläger in die Gitterbox eingeklinkt oder von ihr gelöst werden.</w:t>
      </w:r>
    </w:p>
    <w:p w:rsidR="00053E70" w:rsidRPr="00053E70" w:rsidRDefault="00053E70" w:rsidP="00053E70">
      <w:pPr>
        <w:spacing w:before="100" w:beforeAutospacing="1" w:after="0" w:line="240" w:lineRule="auto"/>
        <w:rPr>
          <w:rFonts w:ascii="Times New Roman" w:eastAsia="Times New Roman" w:hAnsi="Times New Roman" w:cs="Times New Roman"/>
          <w:sz w:val="24"/>
          <w:szCs w:val="24"/>
          <w:lang w:eastAsia="de-DE"/>
        </w:rPr>
      </w:pPr>
      <w:r w:rsidRPr="00053E70">
        <w:rPr>
          <w:rFonts w:ascii="Times New Roman" w:eastAsia="Times New Roman" w:hAnsi="Times New Roman" w:cs="Times New Roman"/>
          <w:sz w:val="24"/>
          <w:szCs w:val="24"/>
          <w:lang w:eastAsia="de-DE"/>
        </w:rPr>
        <w:t>Ideal eignet sich die Gitterboxtraverse Typ RGT auch in Kombination mit unseren Kranarmen zum bequemen Stapeln und Verladen.</w:t>
      </w:r>
    </w:p>
    <w:p w:rsidR="00053E70" w:rsidRPr="00053E70" w:rsidRDefault="00053E70" w:rsidP="00053E70">
      <w:pPr>
        <w:spacing w:before="100" w:beforeAutospacing="1" w:after="0" w:line="240" w:lineRule="auto"/>
        <w:rPr>
          <w:rFonts w:ascii="Times New Roman" w:eastAsia="Times New Roman" w:hAnsi="Times New Roman" w:cs="Times New Roman"/>
          <w:sz w:val="24"/>
          <w:szCs w:val="24"/>
          <w:lang w:eastAsia="de-DE"/>
        </w:rPr>
      </w:pPr>
      <w:r w:rsidRPr="00053E70">
        <w:rPr>
          <w:rFonts w:ascii="Times New Roman" w:eastAsia="Times New Roman" w:hAnsi="Times New Roman" w:cs="Times New Roman"/>
          <w:sz w:val="24"/>
          <w:szCs w:val="24"/>
          <w:lang w:eastAsia="de-DE"/>
        </w:rPr>
        <w:t> </w:t>
      </w: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tblGrid>
      <w:tr w:rsidR="00053E70" w:rsidRPr="00053E70" w:rsidTr="007F64D8">
        <w:trPr>
          <w:tblCellSpacing w:w="0" w:type="dxa"/>
        </w:trPr>
        <w:tc>
          <w:tcPr>
            <w:tcW w:w="0" w:type="auto"/>
          </w:tcPr>
          <w:p w:rsidR="00053E70" w:rsidRPr="00053E70" w:rsidRDefault="00053E70" w:rsidP="00053E70">
            <w:pPr>
              <w:spacing w:before="100" w:beforeAutospacing="1" w:after="100" w:afterAutospacing="1" w:line="240" w:lineRule="auto"/>
              <w:rPr>
                <w:rFonts w:ascii="Times New Roman" w:eastAsia="Times New Roman" w:hAnsi="Times New Roman" w:cs="Times New Roman"/>
                <w:sz w:val="24"/>
                <w:szCs w:val="24"/>
                <w:lang w:eastAsia="de-DE"/>
              </w:rPr>
            </w:pPr>
            <w:bookmarkStart w:id="0" w:name="_GoBack"/>
            <w:bookmarkEnd w:id="0"/>
          </w:p>
        </w:tc>
        <w:tc>
          <w:tcPr>
            <w:tcW w:w="0" w:type="auto"/>
          </w:tcPr>
          <w:p w:rsidR="00053E70" w:rsidRPr="00053E70" w:rsidRDefault="00053E70" w:rsidP="00053E70">
            <w:pPr>
              <w:spacing w:before="100" w:beforeAutospacing="1" w:after="100" w:afterAutospacing="1" w:line="240" w:lineRule="auto"/>
              <w:rPr>
                <w:rFonts w:ascii="Times New Roman" w:eastAsia="Times New Roman" w:hAnsi="Times New Roman" w:cs="Times New Roman"/>
                <w:sz w:val="24"/>
                <w:szCs w:val="24"/>
                <w:lang w:eastAsia="de-DE"/>
              </w:rPr>
            </w:pPr>
          </w:p>
        </w:tc>
        <w:tc>
          <w:tcPr>
            <w:tcW w:w="0" w:type="auto"/>
          </w:tcPr>
          <w:p w:rsidR="00053E70" w:rsidRPr="00053E70" w:rsidRDefault="00053E70" w:rsidP="00053E70">
            <w:pPr>
              <w:spacing w:before="100" w:beforeAutospacing="1" w:after="100" w:afterAutospacing="1" w:line="240" w:lineRule="auto"/>
              <w:rPr>
                <w:rFonts w:ascii="Times New Roman" w:eastAsia="Times New Roman" w:hAnsi="Times New Roman" w:cs="Times New Roman"/>
                <w:sz w:val="24"/>
                <w:szCs w:val="24"/>
                <w:lang w:eastAsia="de-DE"/>
              </w:rPr>
            </w:pPr>
          </w:p>
        </w:tc>
        <w:tc>
          <w:tcPr>
            <w:tcW w:w="0" w:type="auto"/>
          </w:tcPr>
          <w:p w:rsidR="00053E70" w:rsidRPr="00053E70" w:rsidRDefault="00053E70" w:rsidP="00053E70">
            <w:pPr>
              <w:spacing w:before="100" w:beforeAutospacing="1" w:after="100" w:afterAutospacing="1" w:line="240" w:lineRule="auto"/>
              <w:rPr>
                <w:rFonts w:ascii="Times New Roman" w:eastAsia="Times New Roman" w:hAnsi="Times New Roman" w:cs="Times New Roman"/>
                <w:sz w:val="24"/>
                <w:szCs w:val="24"/>
                <w:lang w:eastAsia="de-DE"/>
              </w:rPr>
            </w:pPr>
          </w:p>
        </w:tc>
      </w:tr>
      <w:tr w:rsidR="00053E70" w:rsidRPr="00053E70" w:rsidTr="007F64D8">
        <w:trPr>
          <w:tblCellSpacing w:w="0" w:type="dxa"/>
        </w:trPr>
        <w:tc>
          <w:tcPr>
            <w:tcW w:w="0" w:type="auto"/>
          </w:tcPr>
          <w:p w:rsidR="00053E70" w:rsidRPr="00053E70" w:rsidRDefault="00053E70" w:rsidP="00053E70">
            <w:pPr>
              <w:spacing w:before="100" w:beforeAutospacing="1" w:after="100" w:afterAutospacing="1" w:line="240" w:lineRule="auto"/>
              <w:rPr>
                <w:rFonts w:ascii="Times New Roman" w:eastAsia="Times New Roman" w:hAnsi="Times New Roman" w:cs="Times New Roman"/>
                <w:sz w:val="24"/>
                <w:szCs w:val="24"/>
                <w:lang w:eastAsia="de-DE"/>
              </w:rPr>
            </w:pPr>
          </w:p>
        </w:tc>
        <w:tc>
          <w:tcPr>
            <w:tcW w:w="0" w:type="auto"/>
          </w:tcPr>
          <w:p w:rsidR="00053E70" w:rsidRPr="00053E70" w:rsidRDefault="00053E70" w:rsidP="00053E70">
            <w:pPr>
              <w:spacing w:after="0" w:line="240" w:lineRule="auto"/>
              <w:rPr>
                <w:rFonts w:ascii="Times New Roman" w:eastAsia="Times New Roman" w:hAnsi="Times New Roman" w:cs="Times New Roman"/>
                <w:sz w:val="24"/>
                <w:szCs w:val="24"/>
                <w:lang w:eastAsia="de-DE"/>
              </w:rPr>
            </w:pPr>
          </w:p>
        </w:tc>
        <w:tc>
          <w:tcPr>
            <w:tcW w:w="0" w:type="auto"/>
            <w:noWrap/>
          </w:tcPr>
          <w:p w:rsidR="00053E70" w:rsidRPr="00053E70" w:rsidRDefault="00053E70" w:rsidP="00053E70">
            <w:pPr>
              <w:spacing w:after="0" w:line="240" w:lineRule="auto"/>
              <w:rPr>
                <w:rFonts w:ascii="Times New Roman" w:eastAsia="Times New Roman" w:hAnsi="Times New Roman" w:cs="Times New Roman"/>
                <w:sz w:val="24"/>
                <w:szCs w:val="24"/>
                <w:lang w:eastAsia="de-DE"/>
              </w:rPr>
            </w:pPr>
          </w:p>
        </w:tc>
        <w:tc>
          <w:tcPr>
            <w:tcW w:w="0" w:type="auto"/>
          </w:tcPr>
          <w:p w:rsidR="00053E70" w:rsidRPr="00053E70" w:rsidRDefault="00053E70" w:rsidP="00053E70">
            <w:pPr>
              <w:spacing w:after="0" w:line="240" w:lineRule="auto"/>
              <w:rPr>
                <w:rFonts w:ascii="Times New Roman" w:eastAsia="Times New Roman" w:hAnsi="Times New Roman" w:cs="Times New Roman"/>
                <w:sz w:val="24"/>
                <w:szCs w:val="24"/>
                <w:lang w:eastAsia="de-DE"/>
              </w:rPr>
            </w:pPr>
          </w:p>
        </w:tc>
      </w:tr>
    </w:tbl>
    <w:p w:rsidR="00987A62" w:rsidRDefault="007F64D8"/>
    <w:sectPr w:rsidR="00987A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E70"/>
    <w:rsid w:val="00053E70"/>
    <w:rsid w:val="0013798D"/>
    <w:rsid w:val="007F64D8"/>
    <w:rsid w:val="00BF26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851657">
      <w:bodyDiv w:val="1"/>
      <w:marLeft w:val="0"/>
      <w:marRight w:val="0"/>
      <w:marTop w:val="0"/>
      <w:marBottom w:val="0"/>
      <w:divBdr>
        <w:top w:val="none" w:sz="0" w:space="0" w:color="auto"/>
        <w:left w:val="none" w:sz="0" w:space="0" w:color="auto"/>
        <w:bottom w:val="none" w:sz="0" w:space="0" w:color="auto"/>
        <w:right w:val="none" w:sz="0" w:space="0" w:color="auto"/>
      </w:divBdr>
      <w:divsChild>
        <w:div w:id="583884050">
          <w:marLeft w:val="0"/>
          <w:marRight w:val="0"/>
          <w:marTop w:val="0"/>
          <w:marBottom w:val="0"/>
          <w:divBdr>
            <w:top w:val="none" w:sz="0" w:space="0" w:color="auto"/>
            <w:left w:val="none" w:sz="0" w:space="0" w:color="auto"/>
            <w:bottom w:val="none" w:sz="0" w:space="0" w:color="auto"/>
            <w:right w:val="none" w:sz="0" w:space="0" w:color="auto"/>
          </w:divBdr>
        </w:div>
        <w:div w:id="1301838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790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Rotherm</dc:creator>
  <cp:lastModifiedBy>Daniel Rotherm</cp:lastModifiedBy>
  <cp:revision>2</cp:revision>
  <dcterms:created xsi:type="dcterms:W3CDTF">2016-04-29T14:07:00Z</dcterms:created>
  <dcterms:modified xsi:type="dcterms:W3CDTF">2016-04-29T14:49:00Z</dcterms:modified>
</cp:coreProperties>
</file>