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3F" w:rsidRPr="00EF2015" w:rsidRDefault="0087523F" w:rsidP="0087523F">
      <w:pPr>
        <w:spacing w:after="0"/>
        <w:rPr>
          <w:b/>
          <w:sz w:val="16"/>
          <w:szCs w:val="16"/>
        </w:rPr>
      </w:pPr>
      <w:r>
        <w:rPr>
          <w:noProof/>
          <w:lang w:eastAsia="de-DE"/>
        </w:rPr>
        <w:drawing>
          <wp:anchor distT="0" distB="0" distL="114300" distR="114300" simplePos="0" relativeHeight="251658240" behindDoc="0" locked="0" layoutInCell="1" allowOverlap="1">
            <wp:simplePos x="0" y="0"/>
            <wp:positionH relativeFrom="column">
              <wp:posOffset>122555</wp:posOffset>
            </wp:positionH>
            <wp:positionV relativeFrom="paragraph">
              <wp:posOffset>-277495</wp:posOffset>
            </wp:positionV>
            <wp:extent cx="1338421" cy="1066800"/>
            <wp:effectExtent l="0" t="0" r="0" b="0"/>
            <wp:wrapNone/>
            <wp:docPr id="1" name="Grafik 1" descr="C:\Users\j.rotherm.RR-INDUSTRIE\Desktop\RIT\Logo\rr_industrietechnik_logo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therm.RR-INDUSTRIE\Desktop\RIT\Logo\rr_industrietechnik_logo_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421" cy="1066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000409F4">
        <w:tab/>
      </w:r>
      <w:r w:rsidRPr="00EF2015">
        <w:rPr>
          <w:b/>
          <w:sz w:val="52"/>
          <w:szCs w:val="52"/>
        </w:rPr>
        <w:t>RR Industrietechnik GmbH</w:t>
      </w:r>
    </w:p>
    <w:p w:rsidR="0087523F" w:rsidRDefault="0087523F" w:rsidP="0087523F">
      <w:pPr>
        <w:spacing w:after="0"/>
        <w:rPr>
          <w:sz w:val="16"/>
          <w:szCs w:val="16"/>
        </w:rPr>
      </w:pPr>
      <w:r>
        <w:rPr>
          <w:sz w:val="16"/>
          <w:szCs w:val="16"/>
        </w:rPr>
        <w:tab/>
      </w:r>
      <w:r>
        <w:rPr>
          <w:sz w:val="16"/>
          <w:szCs w:val="16"/>
        </w:rPr>
        <w:tab/>
      </w:r>
      <w:r>
        <w:rPr>
          <w:sz w:val="16"/>
          <w:szCs w:val="16"/>
        </w:rPr>
        <w:tab/>
        <w:t xml:space="preserve">      </w:t>
      </w:r>
      <w:r w:rsidR="000409F4">
        <w:rPr>
          <w:sz w:val="16"/>
          <w:szCs w:val="16"/>
        </w:rPr>
        <w:tab/>
        <w:t xml:space="preserve">         </w:t>
      </w:r>
      <w:r>
        <w:rPr>
          <w:sz w:val="16"/>
          <w:szCs w:val="16"/>
        </w:rPr>
        <w:t xml:space="preserve">  Produktion/Verwaltung/Lieferadresse Lise-Meitner-Str. 25 48691 Vreden</w:t>
      </w:r>
    </w:p>
    <w:p w:rsidR="0087523F" w:rsidRDefault="0087523F" w:rsidP="0087523F">
      <w:pPr>
        <w:spacing w:after="0"/>
        <w:rPr>
          <w:sz w:val="16"/>
          <w:szCs w:val="16"/>
        </w:rPr>
      </w:pPr>
      <w:r>
        <w:rPr>
          <w:sz w:val="16"/>
          <w:szCs w:val="16"/>
        </w:rPr>
        <w:tab/>
      </w:r>
      <w:r>
        <w:rPr>
          <w:sz w:val="16"/>
          <w:szCs w:val="16"/>
        </w:rPr>
        <w:tab/>
      </w:r>
      <w:r>
        <w:rPr>
          <w:sz w:val="16"/>
          <w:szCs w:val="16"/>
        </w:rPr>
        <w:tab/>
      </w:r>
      <w:r>
        <w:rPr>
          <w:sz w:val="16"/>
          <w:szCs w:val="16"/>
        </w:rPr>
        <w:tab/>
        <w:t xml:space="preserve">            </w:t>
      </w:r>
      <w:r w:rsidR="000409F4">
        <w:rPr>
          <w:sz w:val="16"/>
          <w:szCs w:val="16"/>
        </w:rPr>
        <w:tab/>
      </w:r>
      <w:r w:rsidR="000409F4">
        <w:rPr>
          <w:sz w:val="16"/>
          <w:szCs w:val="16"/>
        </w:rPr>
        <w:tab/>
      </w:r>
      <w:r>
        <w:rPr>
          <w:sz w:val="16"/>
          <w:szCs w:val="16"/>
        </w:rPr>
        <w:t>Telefon 02564/886475-0 Telefax -20</w:t>
      </w:r>
    </w:p>
    <w:p w:rsidR="0087523F" w:rsidRDefault="0087523F" w:rsidP="0087523F">
      <w:pPr>
        <w:spacing w:after="0"/>
        <w:rPr>
          <w:sz w:val="16"/>
          <w:szCs w:val="16"/>
        </w:rPr>
      </w:pPr>
    </w:p>
    <w:p w:rsidR="0087523F" w:rsidRDefault="0087523F" w:rsidP="0087523F">
      <w:pPr>
        <w:spacing w:after="0"/>
        <w:rPr>
          <w:sz w:val="16"/>
          <w:szCs w:val="16"/>
        </w:rPr>
      </w:pPr>
    </w:p>
    <w:p w:rsidR="00274A5A" w:rsidRDefault="00274A5A" w:rsidP="0087523F">
      <w:pPr>
        <w:spacing w:after="0"/>
        <w:rPr>
          <w:sz w:val="16"/>
          <w:szCs w:val="16"/>
        </w:rPr>
      </w:pPr>
    </w:p>
    <w:p w:rsidR="00274A5A" w:rsidRDefault="00274A5A" w:rsidP="00274A5A">
      <w:pPr>
        <w:rPr>
          <w:sz w:val="16"/>
          <w:szCs w:val="16"/>
        </w:rPr>
      </w:pPr>
    </w:p>
    <w:p w:rsidR="00274A5A" w:rsidRDefault="00274A5A" w:rsidP="00274A5A">
      <w:pPr>
        <w:tabs>
          <w:tab w:val="left" w:pos="1550"/>
        </w:tabs>
        <w:spacing w:after="40"/>
        <w:rPr>
          <w:b/>
          <w:sz w:val="52"/>
          <w:szCs w:val="52"/>
        </w:rPr>
      </w:pPr>
      <w:r>
        <w:rPr>
          <w:noProof/>
          <w:lang w:eastAsia="de-DE"/>
        </w:rPr>
        <w:drawing>
          <wp:anchor distT="0" distB="0" distL="114300" distR="114300" simplePos="0" relativeHeight="251659264" behindDoc="0" locked="0" layoutInCell="1" allowOverlap="1" wp14:anchorId="26B7D96C" wp14:editId="761CC5CB">
            <wp:simplePos x="0" y="0"/>
            <wp:positionH relativeFrom="column">
              <wp:posOffset>248285</wp:posOffset>
            </wp:positionH>
            <wp:positionV relativeFrom="paragraph">
              <wp:posOffset>46355</wp:posOffset>
            </wp:positionV>
            <wp:extent cx="774700" cy="1091078"/>
            <wp:effectExtent l="0" t="0" r="6350" b="0"/>
            <wp:wrapNone/>
            <wp:docPr id="2" name="Bild 2" descr="http://www.bau-schaden-gutachter.de/_images/ue-Zei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u-schaden-gutachter.de/_images/ue-Zeic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10910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ab/>
        <w:t xml:space="preserve">            </w:t>
      </w:r>
      <w:r w:rsidRPr="00274A5A">
        <w:rPr>
          <w:b/>
          <w:sz w:val="52"/>
          <w:szCs w:val="52"/>
        </w:rPr>
        <w:t>Übereinstimmungserklärung</w:t>
      </w:r>
    </w:p>
    <w:p w:rsidR="00274A5A" w:rsidRDefault="00274A5A" w:rsidP="00274A5A">
      <w:pPr>
        <w:tabs>
          <w:tab w:val="left" w:pos="2130"/>
        </w:tabs>
        <w:spacing w:after="0"/>
        <w:rPr>
          <w:sz w:val="24"/>
          <w:szCs w:val="24"/>
        </w:rPr>
      </w:pPr>
      <w:r>
        <w:rPr>
          <w:sz w:val="52"/>
          <w:szCs w:val="52"/>
        </w:rPr>
        <w:tab/>
      </w:r>
      <w:r>
        <w:rPr>
          <w:sz w:val="24"/>
          <w:szCs w:val="24"/>
        </w:rPr>
        <w:tab/>
      </w:r>
      <w:r>
        <w:rPr>
          <w:sz w:val="24"/>
          <w:szCs w:val="24"/>
        </w:rPr>
        <w:tab/>
      </w:r>
      <w:r>
        <w:rPr>
          <w:sz w:val="24"/>
          <w:szCs w:val="24"/>
        </w:rPr>
        <w:tab/>
        <w:t>Gem. Bauregelliste A</w:t>
      </w:r>
    </w:p>
    <w:p w:rsidR="00274A5A" w:rsidRDefault="00274A5A" w:rsidP="00274A5A">
      <w:pPr>
        <w:tabs>
          <w:tab w:val="left" w:pos="2130"/>
        </w:tabs>
        <w:spacing w:after="0"/>
        <w:rPr>
          <w:sz w:val="24"/>
          <w:szCs w:val="24"/>
        </w:rPr>
      </w:pPr>
      <w:r>
        <w:rPr>
          <w:sz w:val="24"/>
          <w:szCs w:val="24"/>
        </w:rPr>
        <w:tab/>
      </w:r>
      <w:r>
        <w:rPr>
          <w:sz w:val="24"/>
          <w:szCs w:val="24"/>
        </w:rPr>
        <w:tab/>
      </w:r>
      <w:r>
        <w:rPr>
          <w:sz w:val="24"/>
          <w:szCs w:val="24"/>
        </w:rPr>
        <w:tab/>
      </w:r>
      <w:r>
        <w:rPr>
          <w:sz w:val="24"/>
          <w:szCs w:val="24"/>
        </w:rPr>
        <w:tab/>
        <w:t xml:space="preserve">Teil 1 des </w:t>
      </w:r>
      <w:proofErr w:type="spellStart"/>
      <w:r>
        <w:rPr>
          <w:sz w:val="24"/>
          <w:szCs w:val="24"/>
        </w:rPr>
        <w:t>DIBt</w:t>
      </w:r>
      <w:proofErr w:type="spellEnd"/>
      <w:r>
        <w:rPr>
          <w:sz w:val="24"/>
          <w:szCs w:val="24"/>
        </w:rPr>
        <w:t xml:space="preserve"> Berlin</w:t>
      </w:r>
    </w:p>
    <w:p w:rsidR="00274A5A" w:rsidRPr="00274A5A" w:rsidRDefault="00274A5A" w:rsidP="00274A5A">
      <w:pPr>
        <w:tabs>
          <w:tab w:val="left" w:pos="2130"/>
        </w:tabs>
        <w:spacing w:after="0"/>
        <w:rPr>
          <w:sz w:val="24"/>
          <w:szCs w:val="24"/>
        </w:rPr>
      </w:pPr>
      <w:r>
        <w:rPr>
          <w:sz w:val="24"/>
          <w:szCs w:val="24"/>
        </w:rPr>
        <w:tab/>
      </w:r>
      <w:r>
        <w:rPr>
          <w:sz w:val="24"/>
          <w:szCs w:val="24"/>
        </w:rPr>
        <w:tab/>
      </w:r>
      <w:r>
        <w:rPr>
          <w:sz w:val="24"/>
          <w:szCs w:val="24"/>
        </w:rPr>
        <w:tab/>
        <w:t xml:space="preserve">     -Verwendung nur nach </w:t>
      </w:r>
      <w:proofErr w:type="spellStart"/>
      <w:r>
        <w:rPr>
          <w:sz w:val="24"/>
          <w:szCs w:val="24"/>
        </w:rPr>
        <w:t>StawaR</w:t>
      </w:r>
      <w:proofErr w:type="spellEnd"/>
      <w:r>
        <w:rPr>
          <w:sz w:val="24"/>
          <w:szCs w:val="24"/>
        </w:rPr>
        <w:t>-</w:t>
      </w:r>
    </w:p>
    <w:p w:rsidR="00274A5A" w:rsidRDefault="00274A5A" w:rsidP="00274A5A">
      <w:pPr>
        <w:tabs>
          <w:tab w:val="left" w:pos="2200"/>
        </w:tabs>
        <w:rPr>
          <w:sz w:val="16"/>
          <w:szCs w:val="16"/>
        </w:rPr>
      </w:pPr>
    </w:p>
    <w:tbl>
      <w:tblPr>
        <w:tblStyle w:val="Tabellenraster"/>
        <w:tblW w:w="0" w:type="auto"/>
        <w:tblLook w:val="04A0" w:firstRow="1" w:lastRow="0" w:firstColumn="1" w:lastColumn="0" w:noHBand="0" w:noVBand="1"/>
      </w:tblPr>
      <w:tblGrid>
        <w:gridCol w:w="10606"/>
      </w:tblGrid>
      <w:tr w:rsidR="00274A5A" w:rsidTr="00274A5A">
        <w:tc>
          <w:tcPr>
            <w:tcW w:w="10606" w:type="dxa"/>
          </w:tcPr>
          <w:p w:rsidR="00274A5A" w:rsidRDefault="00274A5A" w:rsidP="00274A5A">
            <w:pPr>
              <w:tabs>
                <w:tab w:val="left" w:pos="2200"/>
              </w:tabs>
              <w:rPr>
                <w:sz w:val="16"/>
                <w:szCs w:val="16"/>
              </w:rPr>
            </w:pPr>
          </w:p>
          <w:p w:rsidR="00274A5A" w:rsidRPr="00E60491" w:rsidRDefault="00E60491" w:rsidP="00274A5A">
            <w:pPr>
              <w:tabs>
                <w:tab w:val="left" w:pos="2200"/>
              </w:tabs>
              <w:rPr>
                <w:sz w:val="20"/>
                <w:szCs w:val="20"/>
              </w:rPr>
            </w:pPr>
            <w:r w:rsidRPr="00E60491">
              <w:rPr>
                <w:b/>
                <w:sz w:val="20"/>
                <w:szCs w:val="20"/>
              </w:rPr>
              <w:t>Herstell-Nr. :</w:t>
            </w:r>
            <w:r w:rsidRPr="00E60491">
              <w:rPr>
                <w:sz w:val="20"/>
                <w:szCs w:val="20"/>
              </w:rPr>
              <w:t xml:space="preserve">               11316</w:t>
            </w:r>
          </w:p>
          <w:p w:rsidR="00E60491" w:rsidRPr="00E60491" w:rsidRDefault="00E60491" w:rsidP="00274A5A">
            <w:pPr>
              <w:tabs>
                <w:tab w:val="left" w:pos="2200"/>
              </w:tabs>
              <w:rPr>
                <w:sz w:val="20"/>
                <w:szCs w:val="20"/>
              </w:rPr>
            </w:pPr>
            <w:r w:rsidRPr="00E60491">
              <w:rPr>
                <w:b/>
                <w:sz w:val="20"/>
                <w:szCs w:val="20"/>
              </w:rPr>
              <w:t>Bezeichnung:</w:t>
            </w:r>
            <w:r w:rsidRPr="00E60491">
              <w:rPr>
                <w:sz w:val="20"/>
                <w:szCs w:val="20"/>
              </w:rPr>
              <w:t xml:space="preserve">              RSW-2 verzinkt</w:t>
            </w:r>
          </w:p>
          <w:p w:rsidR="00274A5A" w:rsidRPr="00E60491" w:rsidRDefault="00E60491" w:rsidP="00274A5A">
            <w:pPr>
              <w:tabs>
                <w:tab w:val="left" w:pos="2200"/>
              </w:tabs>
              <w:rPr>
                <w:sz w:val="20"/>
                <w:szCs w:val="20"/>
              </w:rPr>
            </w:pPr>
            <w:r w:rsidRPr="00E60491">
              <w:rPr>
                <w:b/>
                <w:sz w:val="20"/>
                <w:szCs w:val="20"/>
              </w:rPr>
              <w:t>Tragkraft:</w:t>
            </w:r>
            <w:r w:rsidRPr="00E60491">
              <w:rPr>
                <w:sz w:val="20"/>
                <w:szCs w:val="20"/>
              </w:rPr>
              <w:t xml:space="preserve">                    1000 kg/m²</w:t>
            </w:r>
          </w:p>
          <w:p w:rsidR="00E60491" w:rsidRPr="00E60491" w:rsidRDefault="00E60491" w:rsidP="00274A5A">
            <w:pPr>
              <w:tabs>
                <w:tab w:val="left" w:pos="2200"/>
              </w:tabs>
              <w:rPr>
                <w:sz w:val="20"/>
                <w:szCs w:val="20"/>
              </w:rPr>
            </w:pPr>
            <w:r w:rsidRPr="00E60491">
              <w:rPr>
                <w:b/>
                <w:sz w:val="20"/>
                <w:szCs w:val="20"/>
              </w:rPr>
              <w:t xml:space="preserve">Auffangvolumen: </w:t>
            </w:r>
            <w:r w:rsidRPr="00E60491">
              <w:rPr>
                <w:sz w:val="20"/>
                <w:szCs w:val="20"/>
              </w:rPr>
              <w:t xml:space="preserve">     </w:t>
            </w:r>
            <w:r>
              <w:rPr>
                <w:sz w:val="20"/>
                <w:szCs w:val="20"/>
              </w:rPr>
              <w:t xml:space="preserve"> </w:t>
            </w:r>
            <w:r w:rsidRPr="00E60491">
              <w:rPr>
                <w:sz w:val="20"/>
                <w:szCs w:val="20"/>
              </w:rPr>
              <w:t>210 Liter</w:t>
            </w:r>
          </w:p>
          <w:p w:rsidR="00274A5A" w:rsidRPr="00E60491" w:rsidRDefault="00E60491" w:rsidP="00274A5A">
            <w:pPr>
              <w:tabs>
                <w:tab w:val="left" w:pos="2200"/>
              </w:tabs>
              <w:rPr>
                <w:sz w:val="20"/>
                <w:szCs w:val="20"/>
              </w:rPr>
            </w:pPr>
            <w:r w:rsidRPr="00E60491">
              <w:rPr>
                <w:b/>
                <w:sz w:val="20"/>
                <w:szCs w:val="20"/>
              </w:rPr>
              <w:t>Werkstoff:</w:t>
            </w:r>
            <w:r w:rsidRPr="00E60491">
              <w:rPr>
                <w:sz w:val="20"/>
                <w:szCs w:val="20"/>
              </w:rPr>
              <w:t xml:space="preserve">                   </w:t>
            </w:r>
            <w:bookmarkStart w:id="0" w:name="_GoBack"/>
            <w:bookmarkEnd w:id="0"/>
            <w:r w:rsidRPr="00E60491">
              <w:rPr>
                <w:sz w:val="20"/>
                <w:szCs w:val="20"/>
              </w:rPr>
              <w:t>S235JRG2</w:t>
            </w:r>
          </w:p>
          <w:p w:rsidR="00274A5A" w:rsidRDefault="00274A5A" w:rsidP="00274A5A">
            <w:pPr>
              <w:tabs>
                <w:tab w:val="left" w:pos="2200"/>
              </w:tabs>
              <w:rPr>
                <w:sz w:val="16"/>
                <w:szCs w:val="16"/>
              </w:rPr>
            </w:pPr>
          </w:p>
          <w:p w:rsidR="00274A5A" w:rsidRDefault="00274A5A" w:rsidP="00274A5A">
            <w:pPr>
              <w:tabs>
                <w:tab w:val="left" w:pos="2200"/>
              </w:tabs>
              <w:rPr>
                <w:sz w:val="16"/>
                <w:szCs w:val="16"/>
              </w:rPr>
            </w:pPr>
          </w:p>
        </w:tc>
      </w:tr>
    </w:tbl>
    <w:p w:rsidR="00274A5A" w:rsidRDefault="00274A5A" w:rsidP="00274A5A">
      <w:pPr>
        <w:tabs>
          <w:tab w:val="left" w:pos="2200"/>
        </w:tabs>
        <w:rPr>
          <w:sz w:val="16"/>
          <w:szCs w:val="16"/>
        </w:rPr>
      </w:pPr>
    </w:p>
    <w:p w:rsidR="00274A5A" w:rsidRDefault="00274A5A" w:rsidP="00274A5A">
      <w:pPr>
        <w:tabs>
          <w:tab w:val="left" w:pos="2200"/>
        </w:tabs>
        <w:rPr>
          <w:sz w:val="16"/>
          <w:szCs w:val="16"/>
        </w:rPr>
      </w:pPr>
    </w:p>
    <w:tbl>
      <w:tblPr>
        <w:tblStyle w:val="Tabellenraster"/>
        <w:tblpPr w:leftFromText="141" w:rightFromText="141" w:vertAnchor="text" w:horzAnchor="page" w:tblpX="1893" w:tblpY="-9"/>
        <w:tblW w:w="0" w:type="auto"/>
        <w:tblLook w:val="04A0" w:firstRow="1" w:lastRow="0" w:firstColumn="1" w:lastColumn="0" w:noHBand="0" w:noVBand="1"/>
      </w:tblPr>
      <w:tblGrid>
        <w:gridCol w:w="2852"/>
      </w:tblGrid>
      <w:tr w:rsidR="00274A5A" w:rsidTr="00274A5A">
        <w:trPr>
          <w:trHeight w:val="309"/>
        </w:trPr>
        <w:tc>
          <w:tcPr>
            <w:tcW w:w="2852" w:type="dxa"/>
          </w:tcPr>
          <w:p w:rsidR="00274A5A" w:rsidRDefault="008331EA" w:rsidP="00274A5A">
            <w:pPr>
              <w:tabs>
                <w:tab w:val="left" w:pos="2200"/>
              </w:tabs>
              <w:rPr>
                <w:b/>
                <w:sz w:val="24"/>
                <w:szCs w:val="24"/>
              </w:rPr>
            </w:pPr>
            <w:r>
              <w:rPr>
                <w:b/>
                <w:sz w:val="24"/>
                <w:szCs w:val="24"/>
              </w:rPr>
              <w:t>K.Artas</w:t>
            </w:r>
          </w:p>
        </w:tc>
      </w:tr>
    </w:tbl>
    <w:p w:rsidR="00274A5A" w:rsidRPr="00274A5A" w:rsidRDefault="00274A5A" w:rsidP="00274A5A">
      <w:pPr>
        <w:tabs>
          <w:tab w:val="left" w:pos="2200"/>
        </w:tabs>
        <w:rPr>
          <w:b/>
          <w:sz w:val="24"/>
          <w:szCs w:val="24"/>
        </w:rPr>
      </w:pPr>
      <w:r w:rsidRPr="00274A5A">
        <w:rPr>
          <w:b/>
          <w:sz w:val="24"/>
          <w:szCs w:val="24"/>
        </w:rPr>
        <w:t>Prüfer:</w:t>
      </w:r>
      <w:r>
        <w:rPr>
          <w:b/>
          <w:sz w:val="24"/>
          <w:szCs w:val="24"/>
        </w:rPr>
        <w:t xml:space="preserve"> </w:t>
      </w:r>
    </w:p>
    <w:p w:rsidR="00274A5A" w:rsidRDefault="00274A5A" w:rsidP="00274A5A">
      <w:pPr>
        <w:pStyle w:val="Listenabsatz"/>
        <w:numPr>
          <w:ilvl w:val="0"/>
          <w:numId w:val="2"/>
        </w:numPr>
        <w:tabs>
          <w:tab w:val="left" w:pos="2200"/>
        </w:tabs>
        <w:spacing w:after="40"/>
        <w:rPr>
          <w:b/>
          <w:sz w:val="24"/>
          <w:szCs w:val="24"/>
        </w:rPr>
      </w:pPr>
      <w:r w:rsidRPr="00274A5A">
        <w:rPr>
          <w:b/>
          <w:sz w:val="24"/>
          <w:szCs w:val="24"/>
        </w:rPr>
        <w:t>Bauprüfung</w:t>
      </w:r>
    </w:p>
    <w:p w:rsidR="00274A5A" w:rsidRDefault="00274A5A" w:rsidP="00D0605D">
      <w:pPr>
        <w:tabs>
          <w:tab w:val="left" w:pos="2200"/>
        </w:tabs>
        <w:spacing w:after="0"/>
        <w:ind w:left="360"/>
        <w:rPr>
          <w:sz w:val="20"/>
          <w:szCs w:val="20"/>
        </w:rPr>
      </w:pPr>
      <w:r>
        <w:rPr>
          <w:sz w:val="20"/>
          <w:szCs w:val="20"/>
        </w:rPr>
        <w:t xml:space="preserve">Die Auffangwanne mit der obigen </w:t>
      </w:r>
      <w:proofErr w:type="spellStart"/>
      <w:r>
        <w:rPr>
          <w:sz w:val="20"/>
          <w:szCs w:val="20"/>
        </w:rPr>
        <w:t>Herstell</w:t>
      </w:r>
      <w:proofErr w:type="spellEnd"/>
      <w:r>
        <w:rPr>
          <w:sz w:val="20"/>
          <w:szCs w:val="20"/>
        </w:rPr>
        <w:t xml:space="preserve"> Nr. stimmt,</w:t>
      </w:r>
      <w:r w:rsidR="00C03309">
        <w:rPr>
          <w:sz w:val="20"/>
          <w:szCs w:val="20"/>
        </w:rPr>
        <w:t xml:space="preserve"> m</w:t>
      </w:r>
      <w:r>
        <w:rPr>
          <w:sz w:val="20"/>
          <w:szCs w:val="20"/>
        </w:rPr>
        <w:t xml:space="preserve">it dem Abschnitt 2.1 (3) bis (10) der Richtlinie über sie Anforderungen an Auffangwannen aus Stahl mit einem Rauminhalt bis 1000 </w:t>
      </w:r>
      <w:proofErr w:type="spellStart"/>
      <w:r>
        <w:rPr>
          <w:sz w:val="20"/>
          <w:szCs w:val="20"/>
        </w:rPr>
        <w:t>Ltr</w:t>
      </w:r>
      <w:proofErr w:type="spellEnd"/>
      <w:r>
        <w:rPr>
          <w:sz w:val="20"/>
          <w:szCs w:val="20"/>
        </w:rPr>
        <w:t>. (</w:t>
      </w:r>
      <w:proofErr w:type="spellStart"/>
      <w:r>
        <w:rPr>
          <w:sz w:val="20"/>
          <w:szCs w:val="20"/>
        </w:rPr>
        <w:t>StawaR</w:t>
      </w:r>
      <w:proofErr w:type="spellEnd"/>
      <w:r>
        <w:rPr>
          <w:sz w:val="20"/>
          <w:szCs w:val="20"/>
        </w:rPr>
        <w:t>) überein.</w:t>
      </w:r>
    </w:p>
    <w:p w:rsidR="00274A5A" w:rsidRPr="00274A5A" w:rsidRDefault="00274A5A" w:rsidP="00D0605D">
      <w:pPr>
        <w:tabs>
          <w:tab w:val="left" w:pos="2200"/>
        </w:tabs>
        <w:spacing w:after="0"/>
        <w:ind w:left="360"/>
        <w:rPr>
          <w:sz w:val="20"/>
          <w:szCs w:val="20"/>
        </w:rPr>
      </w:pPr>
    </w:p>
    <w:p w:rsidR="00274A5A" w:rsidRDefault="00C03309" w:rsidP="00D0605D">
      <w:pPr>
        <w:pStyle w:val="Listenabsatz"/>
        <w:numPr>
          <w:ilvl w:val="0"/>
          <w:numId w:val="2"/>
        </w:numPr>
        <w:tabs>
          <w:tab w:val="left" w:pos="2200"/>
        </w:tabs>
        <w:spacing w:after="0"/>
        <w:rPr>
          <w:b/>
          <w:sz w:val="24"/>
          <w:szCs w:val="24"/>
        </w:rPr>
      </w:pPr>
      <w:r>
        <w:rPr>
          <w:b/>
          <w:sz w:val="24"/>
          <w:szCs w:val="24"/>
        </w:rPr>
        <w:t>Beständigkeit</w:t>
      </w:r>
    </w:p>
    <w:p w:rsidR="00C03309" w:rsidRDefault="00C03309" w:rsidP="00D0605D">
      <w:pPr>
        <w:tabs>
          <w:tab w:val="left" w:pos="2200"/>
        </w:tabs>
        <w:spacing w:after="0"/>
        <w:ind w:left="360"/>
        <w:rPr>
          <w:sz w:val="20"/>
          <w:szCs w:val="20"/>
        </w:rPr>
      </w:pPr>
      <w:r>
        <w:rPr>
          <w:sz w:val="20"/>
          <w:szCs w:val="20"/>
        </w:rPr>
        <w:t>Der Betreiber hat sicherzustellen, dass die Auffangwanne gegen die in den Behältern gelagerten Stoffe gem. DIN 6601 ausreichend beständig sind.</w:t>
      </w:r>
    </w:p>
    <w:p w:rsidR="00D0605D" w:rsidRDefault="00D0605D" w:rsidP="00D0605D">
      <w:pPr>
        <w:tabs>
          <w:tab w:val="left" w:pos="2200"/>
        </w:tabs>
        <w:spacing w:after="0"/>
        <w:ind w:left="360"/>
        <w:rPr>
          <w:sz w:val="20"/>
          <w:szCs w:val="20"/>
        </w:rPr>
      </w:pPr>
    </w:p>
    <w:p w:rsidR="00C03309" w:rsidRPr="00C03309" w:rsidRDefault="00C03309" w:rsidP="00D0605D">
      <w:pPr>
        <w:pStyle w:val="Listenabsatz"/>
        <w:numPr>
          <w:ilvl w:val="0"/>
          <w:numId w:val="2"/>
        </w:numPr>
        <w:tabs>
          <w:tab w:val="left" w:pos="2200"/>
        </w:tabs>
        <w:spacing w:after="0"/>
        <w:rPr>
          <w:b/>
          <w:sz w:val="24"/>
          <w:szCs w:val="24"/>
        </w:rPr>
      </w:pPr>
      <w:r w:rsidRPr="00C03309">
        <w:rPr>
          <w:b/>
          <w:sz w:val="24"/>
          <w:szCs w:val="24"/>
        </w:rPr>
        <w:t>Schweißnahtprüfung</w:t>
      </w:r>
    </w:p>
    <w:p w:rsidR="00C03309" w:rsidRDefault="00C03309" w:rsidP="00C03309">
      <w:pPr>
        <w:tabs>
          <w:tab w:val="left" w:pos="2200"/>
        </w:tabs>
        <w:ind w:left="360"/>
        <w:rPr>
          <w:sz w:val="20"/>
          <w:szCs w:val="20"/>
        </w:rPr>
      </w:pPr>
      <w:r>
        <w:rPr>
          <w:sz w:val="20"/>
          <w:szCs w:val="20"/>
        </w:rPr>
        <w:t>Die Sichtprüfung der Schweißnähte ergab keine Beanstandungen.</w:t>
      </w:r>
    </w:p>
    <w:p w:rsidR="00C03309" w:rsidRPr="00C03309" w:rsidRDefault="00C03309" w:rsidP="00D0605D">
      <w:pPr>
        <w:pStyle w:val="Listenabsatz"/>
        <w:numPr>
          <w:ilvl w:val="0"/>
          <w:numId w:val="2"/>
        </w:numPr>
        <w:tabs>
          <w:tab w:val="left" w:pos="2200"/>
        </w:tabs>
        <w:spacing w:after="0"/>
        <w:rPr>
          <w:b/>
          <w:sz w:val="24"/>
          <w:szCs w:val="20"/>
        </w:rPr>
      </w:pPr>
      <w:r w:rsidRPr="00C03309">
        <w:rPr>
          <w:b/>
          <w:sz w:val="24"/>
          <w:szCs w:val="20"/>
        </w:rPr>
        <w:t>Dichtheitsprüfung</w:t>
      </w:r>
    </w:p>
    <w:p w:rsidR="00C03309" w:rsidRDefault="00C03309" w:rsidP="00D0605D">
      <w:pPr>
        <w:tabs>
          <w:tab w:val="left" w:pos="2200"/>
        </w:tabs>
        <w:spacing w:after="0"/>
        <w:ind w:left="360"/>
        <w:rPr>
          <w:sz w:val="20"/>
          <w:szCs w:val="20"/>
        </w:rPr>
      </w:pPr>
      <w:r>
        <w:rPr>
          <w:sz w:val="20"/>
          <w:szCs w:val="20"/>
        </w:rPr>
        <w:t>Die Prüfung der Dichtigkeit erfolgte nach dem Vakuumverfahren bzw. dem Farbeindringverfahren nach DIN EN 571-1. Die Dichtigkeit wurde festgestellt.</w:t>
      </w:r>
    </w:p>
    <w:p w:rsidR="00D0605D" w:rsidRDefault="00D0605D" w:rsidP="00D0605D">
      <w:pPr>
        <w:tabs>
          <w:tab w:val="left" w:pos="2200"/>
        </w:tabs>
        <w:spacing w:after="0"/>
        <w:ind w:left="360"/>
        <w:rPr>
          <w:sz w:val="20"/>
          <w:szCs w:val="20"/>
        </w:rPr>
      </w:pPr>
    </w:p>
    <w:p w:rsidR="00C03309" w:rsidRPr="00C03309" w:rsidRDefault="00C03309" w:rsidP="00D0605D">
      <w:pPr>
        <w:pStyle w:val="Listenabsatz"/>
        <w:numPr>
          <w:ilvl w:val="0"/>
          <w:numId w:val="2"/>
        </w:numPr>
        <w:tabs>
          <w:tab w:val="left" w:pos="2200"/>
        </w:tabs>
        <w:spacing w:after="0"/>
        <w:rPr>
          <w:b/>
          <w:sz w:val="24"/>
          <w:szCs w:val="20"/>
        </w:rPr>
      </w:pPr>
      <w:r w:rsidRPr="00C03309">
        <w:rPr>
          <w:b/>
          <w:sz w:val="24"/>
          <w:szCs w:val="20"/>
        </w:rPr>
        <w:t>Korrosionsschutzkontrolle</w:t>
      </w:r>
    </w:p>
    <w:p w:rsidR="00C03309" w:rsidRDefault="00C03309" w:rsidP="00D0605D">
      <w:pPr>
        <w:tabs>
          <w:tab w:val="left" w:pos="2200"/>
        </w:tabs>
        <w:spacing w:after="0"/>
        <w:ind w:left="360"/>
        <w:rPr>
          <w:sz w:val="20"/>
          <w:szCs w:val="20"/>
        </w:rPr>
      </w:pPr>
      <w:r>
        <w:rPr>
          <w:sz w:val="20"/>
          <w:szCs w:val="20"/>
        </w:rPr>
        <w:t>Auffangwannen aus Stahl nach DIN EN 10025 sind mit einem Oberflächenschutz versehen. Die Korrosionsschutzkontrolle ergab keinerlei Beanstandungen.</w:t>
      </w:r>
    </w:p>
    <w:p w:rsidR="002A788F" w:rsidRDefault="002A788F" w:rsidP="00D0605D">
      <w:pPr>
        <w:tabs>
          <w:tab w:val="left" w:pos="2200"/>
        </w:tabs>
        <w:spacing w:after="0"/>
        <w:ind w:left="360"/>
        <w:rPr>
          <w:sz w:val="20"/>
          <w:szCs w:val="20"/>
        </w:rPr>
      </w:pPr>
    </w:p>
    <w:p w:rsidR="00C03309" w:rsidRPr="00C03309" w:rsidRDefault="00C03309" w:rsidP="00D0605D">
      <w:pPr>
        <w:pStyle w:val="Listenabsatz"/>
        <w:numPr>
          <w:ilvl w:val="0"/>
          <w:numId w:val="2"/>
        </w:numPr>
        <w:tabs>
          <w:tab w:val="left" w:pos="2200"/>
        </w:tabs>
        <w:spacing w:after="0"/>
        <w:rPr>
          <w:b/>
          <w:sz w:val="24"/>
          <w:szCs w:val="20"/>
        </w:rPr>
      </w:pPr>
      <w:r w:rsidRPr="00C03309">
        <w:rPr>
          <w:b/>
          <w:sz w:val="24"/>
          <w:szCs w:val="20"/>
        </w:rPr>
        <w:t>Eignung</w:t>
      </w:r>
    </w:p>
    <w:p w:rsidR="00C03309" w:rsidRDefault="00C03309" w:rsidP="00D0605D">
      <w:pPr>
        <w:tabs>
          <w:tab w:val="left" w:pos="2200"/>
        </w:tabs>
        <w:spacing w:after="0"/>
        <w:ind w:left="360"/>
        <w:rPr>
          <w:sz w:val="20"/>
          <w:szCs w:val="20"/>
        </w:rPr>
      </w:pPr>
      <w:r>
        <w:rPr>
          <w:sz w:val="20"/>
          <w:szCs w:val="20"/>
        </w:rPr>
        <w:t xml:space="preserve">Die Verwendung der Auffangwanne mit der obigen </w:t>
      </w:r>
      <w:proofErr w:type="spellStart"/>
      <w:r>
        <w:rPr>
          <w:sz w:val="20"/>
          <w:szCs w:val="20"/>
        </w:rPr>
        <w:t>Herstell</w:t>
      </w:r>
      <w:proofErr w:type="spellEnd"/>
      <w:r>
        <w:rPr>
          <w:sz w:val="20"/>
          <w:szCs w:val="20"/>
        </w:rPr>
        <w:t xml:space="preserve"> Nr. darf ausschließlich nach der </w:t>
      </w:r>
      <w:proofErr w:type="spellStart"/>
      <w:r>
        <w:rPr>
          <w:sz w:val="20"/>
          <w:szCs w:val="20"/>
        </w:rPr>
        <w:t>StawaR</w:t>
      </w:r>
      <w:proofErr w:type="spellEnd"/>
      <w:r>
        <w:rPr>
          <w:sz w:val="20"/>
          <w:szCs w:val="20"/>
        </w:rPr>
        <w:t xml:space="preserve"> und unserer umseitigen Bedienungsanleitung für Auffangwannen erfolgen.</w:t>
      </w:r>
    </w:p>
    <w:p w:rsidR="002A788F" w:rsidRDefault="002A788F" w:rsidP="00D0605D">
      <w:pPr>
        <w:tabs>
          <w:tab w:val="left" w:pos="2200"/>
        </w:tabs>
        <w:spacing w:after="0"/>
        <w:ind w:left="360"/>
        <w:rPr>
          <w:sz w:val="20"/>
          <w:szCs w:val="20"/>
        </w:rPr>
      </w:pPr>
    </w:p>
    <w:p w:rsidR="0028673B" w:rsidRDefault="0028673B" w:rsidP="00D0605D">
      <w:pPr>
        <w:tabs>
          <w:tab w:val="left" w:pos="2200"/>
        </w:tabs>
        <w:spacing w:after="0"/>
        <w:ind w:left="360"/>
        <w:rPr>
          <w:sz w:val="20"/>
          <w:szCs w:val="20"/>
        </w:rPr>
      </w:pPr>
    </w:p>
    <w:p w:rsidR="008331EA" w:rsidRDefault="008331EA" w:rsidP="00D0605D">
      <w:pPr>
        <w:tabs>
          <w:tab w:val="left" w:pos="2200"/>
        </w:tabs>
        <w:spacing w:after="0"/>
        <w:ind w:left="360"/>
        <w:rPr>
          <w:sz w:val="20"/>
          <w:szCs w:val="20"/>
        </w:rPr>
      </w:pPr>
    </w:p>
    <w:p w:rsidR="008331EA" w:rsidRDefault="008331EA" w:rsidP="00D0605D">
      <w:pPr>
        <w:tabs>
          <w:tab w:val="left" w:pos="2200"/>
        </w:tabs>
        <w:spacing w:after="0"/>
        <w:ind w:left="360"/>
        <w:rPr>
          <w:sz w:val="20"/>
          <w:szCs w:val="20"/>
        </w:rPr>
      </w:pPr>
    </w:p>
    <w:p w:rsidR="0028673B" w:rsidRPr="000409F4" w:rsidRDefault="0028673B" w:rsidP="0028673B">
      <w:pPr>
        <w:tabs>
          <w:tab w:val="left" w:pos="2200"/>
        </w:tabs>
        <w:spacing w:after="0"/>
        <w:ind w:left="360"/>
        <w:jc w:val="center"/>
        <w:rPr>
          <w:b/>
          <w:sz w:val="28"/>
          <w:szCs w:val="24"/>
        </w:rPr>
      </w:pPr>
      <w:r w:rsidRPr="000409F4">
        <w:rPr>
          <w:b/>
          <w:sz w:val="28"/>
          <w:szCs w:val="24"/>
        </w:rPr>
        <w:lastRenderedPageBreak/>
        <w:t>Betriebsanleitung für Auffangwannen</w:t>
      </w:r>
    </w:p>
    <w:p w:rsidR="0028673B" w:rsidRDefault="0028673B" w:rsidP="0028673B">
      <w:pPr>
        <w:tabs>
          <w:tab w:val="left" w:pos="2200"/>
        </w:tabs>
        <w:spacing w:after="0"/>
        <w:ind w:left="360"/>
        <w:jc w:val="center"/>
        <w:rPr>
          <w:sz w:val="24"/>
          <w:szCs w:val="24"/>
        </w:rPr>
      </w:pPr>
    </w:p>
    <w:p w:rsidR="00F83D1E" w:rsidRDefault="00F83D1E" w:rsidP="0028673B">
      <w:pPr>
        <w:pStyle w:val="Listenabsatz"/>
        <w:numPr>
          <w:ilvl w:val="0"/>
          <w:numId w:val="5"/>
        </w:numPr>
        <w:tabs>
          <w:tab w:val="left" w:pos="2200"/>
        </w:tabs>
        <w:spacing w:after="0"/>
        <w:rPr>
          <w:sz w:val="18"/>
          <w:szCs w:val="18"/>
        </w:rPr>
        <w:sectPr w:rsidR="00F83D1E" w:rsidSect="0087523F">
          <w:pgSz w:w="11906" w:h="16838"/>
          <w:pgMar w:top="720" w:right="720" w:bottom="720" w:left="720" w:header="708" w:footer="708" w:gutter="0"/>
          <w:cols w:space="708"/>
          <w:docGrid w:linePitch="360"/>
        </w:sectPr>
      </w:pPr>
    </w:p>
    <w:p w:rsidR="0028673B" w:rsidRPr="00FA0DE6" w:rsidRDefault="0028673B" w:rsidP="00FA0DE6">
      <w:pPr>
        <w:pStyle w:val="Listenabsatz"/>
        <w:numPr>
          <w:ilvl w:val="0"/>
          <w:numId w:val="5"/>
        </w:numPr>
        <w:tabs>
          <w:tab w:val="left" w:pos="2200"/>
        </w:tabs>
        <w:spacing w:after="0"/>
        <w:jc w:val="both"/>
        <w:rPr>
          <w:b/>
          <w:sz w:val="14"/>
          <w:szCs w:val="14"/>
        </w:rPr>
      </w:pPr>
      <w:r w:rsidRPr="00FA0DE6">
        <w:rPr>
          <w:b/>
          <w:sz w:val="14"/>
          <w:szCs w:val="14"/>
        </w:rPr>
        <w:lastRenderedPageBreak/>
        <w:t>Grundsatz</w:t>
      </w:r>
    </w:p>
    <w:p w:rsidR="0028673B" w:rsidRPr="00FA0DE6" w:rsidRDefault="0028673B" w:rsidP="00FA0DE6">
      <w:pPr>
        <w:tabs>
          <w:tab w:val="left" w:pos="2200"/>
        </w:tabs>
        <w:spacing w:after="0"/>
        <w:ind w:left="360"/>
        <w:jc w:val="both"/>
        <w:rPr>
          <w:sz w:val="14"/>
          <w:szCs w:val="14"/>
        </w:rPr>
      </w:pPr>
      <w:r w:rsidRPr="00FA0DE6">
        <w:rPr>
          <w:sz w:val="14"/>
          <w:szCs w:val="14"/>
        </w:rPr>
        <w:t xml:space="preserve">Anlagen zum Lagern wassergefährdender Stoffe im Bereich der gewerblichen Wirtschaft und im Bereich öffentlicher Einrichtungen müssen so beschaffen sein und so eingebaut, aufgestellt, unterhalten und betrieben werden, dass eine Verunreinigung der Gewässer oder eine sonstige nachteilige Veränderung ihrer Eigenschaften nicht zu besorgen ist. Diese Betriebsanleitung ersetzt nicht die vom Betreiber gemäß </w:t>
      </w:r>
      <w:proofErr w:type="gramStart"/>
      <w:r w:rsidRPr="00FA0DE6">
        <w:rPr>
          <w:sz w:val="14"/>
          <w:szCs w:val="14"/>
        </w:rPr>
        <w:t>der</w:t>
      </w:r>
      <w:proofErr w:type="gramEnd"/>
      <w:r w:rsidRPr="00FA0DE6">
        <w:rPr>
          <w:sz w:val="14"/>
          <w:szCs w:val="14"/>
        </w:rPr>
        <w:t xml:space="preserve"> wasserrechtlichen Regelungen zu erstellende Betriebsanweisung. Diese Betriebsanleitung basiert auf den zur Zeit der Erstellung dieser Betriebsanleitung geltenden Rechtsgrundlagen.</w:t>
      </w:r>
    </w:p>
    <w:p w:rsidR="0028673B" w:rsidRPr="00FA0DE6" w:rsidRDefault="0028673B" w:rsidP="00FA0DE6">
      <w:pPr>
        <w:tabs>
          <w:tab w:val="left" w:pos="2200"/>
        </w:tabs>
        <w:spacing w:after="0"/>
        <w:ind w:left="360"/>
        <w:jc w:val="both"/>
        <w:rPr>
          <w:sz w:val="14"/>
          <w:szCs w:val="14"/>
        </w:rPr>
      </w:pPr>
      <w:r w:rsidRPr="00FA0DE6">
        <w:rPr>
          <w:b/>
          <w:sz w:val="14"/>
          <w:szCs w:val="14"/>
        </w:rPr>
        <w:t>ACHTUNG!</w:t>
      </w:r>
      <w:r w:rsidRPr="00FA0DE6">
        <w:rPr>
          <w:sz w:val="14"/>
          <w:szCs w:val="14"/>
        </w:rPr>
        <w:t xml:space="preserve"> Bei Änderungen der zutreffenden gesetzlichen Bestimmungen ist die erstellte Betriebsanweisung durch den Betreiber der veränderten Regelungen anzupassen.</w:t>
      </w:r>
    </w:p>
    <w:p w:rsidR="0028673B" w:rsidRPr="00FA0DE6" w:rsidRDefault="0028673B" w:rsidP="00FA0DE6">
      <w:pPr>
        <w:tabs>
          <w:tab w:val="left" w:pos="2200"/>
        </w:tabs>
        <w:spacing w:after="0"/>
        <w:ind w:left="360"/>
        <w:jc w:val="both"/>
        <w:rPr>
          <w:sz w:val="14"/>
          <w:szCs w:val="14"/>
        </w:rPr>
      </w:pPr>
    </w:p>
    <w:p w:rsidR="0028673B" w:rsidRPr="00FA0DE6" w:rsidRDefault="0028673B" w:rsidP="00FA0DE6">
      <w:pPr>
        <w:pStyle w:val="Listenabsatz"/>
        <w:numPr>
          <w:ilvl w:val="0"/>
          <w:numId w:val="5"/>
        </w:numPr>
        <w:tabs>
          <w:tab w:val="left" w:pos="2200"/>
        </w:tabs>
        <w:spacing w:after="0"/>
        <w:jc w:val="both"/>
        <w:rPr>
          <w:b/>
          <w:sz w:val="14"/>
          <w:szCs w:val="14"/>
        </w:rPr>
      </w:pPr>
      <w:r w:rsidRPr="00FA0DE6">
        <w:rPr>
          <w:b/>
          <w:sz w:val="14"/>
          <w:szCs w:val="14"/>
        </w:rPr>
        <w:t>Anwendung und Einsatzbereich</w:t>
      </w:r>
    </w:p>
    <w:p w:rsidR="0028673B" w:rsidRPr="00FA0DE6" w:rsidRDefault="0028673B" w:rsidP="00FA0DE6">
      <w:pPr>
        <w:tabs>
          <w:tab w:val="left" w:pos="2200"/>
        </w:tabs>
        <w:spacing w:after="0"/>
        <w:ind w:left="360"/>
        <w:jc w:val="both"/>
        <w:rPr>
          <w:sz w:val="14"/>
          <w:szCs w:val="14"/>
        </w:rPr>
      </w:pPr>
      <w:r w:rsidRPr="00FA0DE6">
        <w:rPr>
          <w:sz w:val="14"/>
          <w:szCs w:val="14"/>
        </w:rPr>
        <w:t>Die Auffangwannen werden genutzt</w:t>
      </w:r>
    </w:p>
    <w:p w:rsidR="0028673B" w:rsidRPr="00FA0DE6" w:rsidRDefault="0028673B" w:rsidP="00FA0DE6">
      <w:pPr>
        <w:pStyle w:val="Listenabsatz"/>
        <w:numPr>
          <w:ilvl w:val="0"/>
          <w:numId w:val="6"/>
        </w:numPr>
        <w:tabs>
          <w:tab w:val="left" w:pos="2200"/>
        </w:tabs>
        <w:spacing w:after="0"/>
        <w:jc w:val="both"/>
        <w:rPr>
          <w:sz w:val="14"/>
          <w:szCs w:val="14"/>
        </w:rPr>
      </w:pPr>
      <w:r w:rsidRPr="00FA0DE6">
        <w:rPr>
          <w:sz w:val="14"/>
          <w:szCs w:val="14"/>
        </w:rPr>
        <w:t>Als einzelne Auffangwanne oder</w:t>
      </w:r>
    </w:p>
    <w:p w:rsidR="0028673B" w:rsidRPr="00FA0DE6" w:rsidRDefault="0028673B" w:rsidP="00FA0DE6">
      <w:pPr>
        <w:pStyle w:val="Listenabsatz"/>
        <w:numPr>
          <w:ilvl w:val="0"/>
          <w:numId w:val="6"/>
        </w:numPr>
        <w:tabs>
          <w:tab w:val="left" w:pos="2200"/>
        </w:tabs>
        <w:spacing w:after="0"/>
        <w:jc w:val="both"/>
        <w:rPr>
          <w:sz w:val="14"/>
          <w:szCs w:val="14"/>
        </w:rPr>
      </w:pPr>
      <w:r w:rsidRPr="00FA0DE6">
        <w:rPr>
          <w:sz w:val="14"/>
          <w:szCs w:val="14"/>
        </w:rPr>
        <w:t>Im Systemcontainer</w:t>
      </w:r>
    </w:p>
    <w:p w:rsidR="00F83D1E" w:rsidRPr="00FA0DE6" w:rsidRDefault="00F83D1E" w:rsidP="00FA0DE6">
      <w:pPr>
        <w:tabs>
          <w:tab w:val="left" w:pos="2200"/>
        </w:tabs>
        <w:spacing w:after="0"/>
        <w:jc w:val="both"/>
        <w:rPr>
          <w:sz w:val="14"/>
          <w:szCs w:val="14"/>
        </w:rPr>
      </w:pPr>
      <w:r w:rsidRPr="00FA0DE6">
        <w:rPr>
          <w:sz w:val="14"/>
          <w:szCs w:val="14"/>
        </w:rPr>
        <w:t xml:space="preserve">      </w:t>
      </w:r>
      <w:r w:rsidR="0028673B" w:rsidRPr="00FA0DE6">
        <w:rPr>
          <w:sz w:val="14"/>
          <w:szCs w:val="14"/>
        </w:rPr>
        <w:t xml:space="preserve">  und sollen aus dem in bzw. über der Auffangwanne </w:t>
      </w:r>
    </w:p>
    <w:p w:rsidR="00F83D1E" w:rsidRPr="00FA0DE6" w:rsidRDefault="00F83D1E" w:rsidP="00FA0DE6">
      <w:pPr>
        <w:tabs>
          <w:tab w:val="left" w:pos="2200"/>
        </w:tabs>
        <w:spacing w:after="0"/>
        <w:jc w:val="both"/>
        <w:rPr>
          <w:sz w:val="14"/>
          <w:szCs w:val="14"/>
        </w:rPr>
      </w:pPr>
      <w:r w:rsidRPr="00FA0DE6">
        <w:rPr>
          <w:sz w:val="14"/>
          <w:szCs w:val="14"/>
        </w:rPr>
        <w:t xml:space="preserve">        </w:t>
      </w:r>
      <w:r w:rsidR="0028673B" w:rsidRPr="00FA0DE6">
        <w:rPr>
          <w:sz w:val="14"/>
          <w:szCs w:val="14"/>
        </w:rPr>
        <w:t xml:space="preserve">abgestellten </w:t>
      </w:r>
      <w:proofErr w:type="spellStart"/>
      <w:r w:rsidR="0028673B" w:rsidRPr="00FA0DE6">
        <w:rPr>
          <w:sz w:val="14"/>
          <w:szCs w:val="14"/>
        </w:rPr>
        <w:t>Lagergut</w:t>
      </w:r>
      <w:proofErr w:type="spellEnd"/>
      <w:r w:rsidR="0028673B" w:rsidRPr="00FA0DE6">
        <w:rPr>
          <w:sz w:val="14"/>
          <w:szCs w:val="14"/>
        </w:rPr>
        <w:t xml:space="preserve"> austretende wassergefährde</w:t>
      </w:r>
      <w:r w:rsidRPr="00FA0DE6">
        <w:rPr>
          <w:sz w:val="14"/>
          <w:szCs w:val="14"/>
        </w:rPr>
        <w:t xml:space="preserve">nde Stoffe </w:t>
      </w:r>
    </w:p>
    <w:p w:rsidR="00F83D1E" w:rsidRPr="00FA0DE6" w:rsidRDefault="00F83D1E" w:rsidP="00FA0DE6">
      <w:pPr>
        <w:tabs>
          <w:tab w:val="left" w:pos="2200"/>
        </w:tabs>
        <w:spacing w:after="0"/>
        <w:jc w:val="both"/>
        <w:rPr>
          <w:sz w:val="14"/>
          <w:szCs w:val="14"/>
        </w:rPr>
      </w:pPr>
      <w:r w:rsidRPr="00FA0DE6">
        <w:rPr>
          <w:sz w:val="14"/>
          <w:szCs w:val="14"/>
        </w:rPr>
        <w:t xml:space="preserve">        zurückhalten. Sobald </w:t>
      </w:r>
      <w:r w:rsidR="0028673B" w:rsidRPr="00FA0DE6">
        <w:rPr>
          <w:sz w:val="14"/>
          <w:szCs w:val="14"/>
        </w:rPr>
        <w:t xml:space="preserve">Auffangwannen als Rückhaltung für </w:t>
      </w:r>
      <w:r w:rsidRPr="00FA0DE6">
        <w:rPr>
          <w:sz w:val="14"/>
          <w:szCs w:val="14"/>
        </w:rPr>
        <w:t xml:space="preserve">       </w:t>
      </w:r>
    </w:p>
    <w:p w:rsidR="00F83D1E" w:rsidRPr="00FA0DE6" w:rsidRDefault="00F83D1E" w:rsidP="00FA0DE6">
      <w:pPr>
        <w:tabs>
          <w:tab w:val="left" w:pos="2200"/>
        </w:tabs>
        <w:spacing w:after="0"/>
        <w:jc w:val="both"/>
        <w:rPr>
          <w:sz w:val="14"/>
          <w:szCs w:val="14"/>
        </w:rPr>
      </w:pPr>
      <w:r w:rsidRPr="00FA0DE6">
        <w:rPr>
          <w:sz w:val="14"/>
          <w:szCs w:val="14"/>
        </w:rPr>
        <w:t xml:space="preserve">        </w:t>
      </w:r>
      <w:r w:rsidR="0028673B" w:rsidRPr="00FA0DE6">
        <w:rPr>
          <w:sz w:val="14"/>
          <w:szCs w:val="14"/>
        </w:rPr>
        <w:t xml:space="preserve">wassergefährdende </w:t>
      </w:r>
      <w:r w:rsidRPr="00FA0DE6">
        <w:rPr>
          <w:sz w:val="14"/>
          <w:szCs w:val="14"/>
        </w:rPr>
        <w:t xml:space="preserve">Stoffe genutzt werden, sind insbesondere </w:t>
      </w:r>
    </w:p>
    <w:p w:rsidR="0028673B" w:rsidRPr="00FA0DE6" w:rsidRDefault="00F83D1E" w:rsidP="00FA0DE6">
      <w:pPr>
        <w:tabs>
          <w:tab w:val="left" w:pos="2200"/>
        </w:tabs>
        <w:spacing w:after="0"/>
        <w:jc w:val="both"/>
        <w:rPr>
          <w:sz w:val="14"/>
          <w:szCs w:val="14"/>
        </w:rPr>
      </w:pPr>
      <w:r w:rsidRPr="00FA0DE6">
        <w:rPr>
          <w:sz w:val="14"/>
          <w:szCs w:val="14"/>
        </w:rPr>
        <w:t xml:space="preserve">        nachfolgende Vorschriften zu beachten:</w:t>
      </w:r>
    </w:p>
    <w:p w:rsidR="00F83D1E" w:rsidRPr="00FA0DE6" w:rsidRDefault="00F83D1E" w:rsidP="00FA0DE6">
      <w:pPr>
        <w:pStyle w:val="Listenabsatz"/>
        <w:numPr>
          <w:ilvl w:val="0"/>
          <w:numId w:val="9"/>
        </w:numPr>
        <w:tabs>
          <w:tab w:val="left" w:pos="2200"/>
        </w:tabs>
        <w:spacing w:after="0"/>
        <w:jc w:val="both"/>
        <w:rPr>
          <w:sz w:val="14"/>
          <w:szCs w:val="14"/>
        </w:rPr>
      </w:pPr>
      <w:r w:rsidRPr="00FA0DE6">
        <w:rPr>
          <w:sz w:val="14"/>
          <w:szCs w:val="14"/>
        </w:rPr>
        <w:t>Wasserhaushaltsgesetz</w:t>
      </w:r>
    </w:p>
    <w:p w:rsidR="00F83D1E" w:rsidRPr="00FA0DE6" w:rsidRDefault="00F83D1E" w:rsidP="00FA0DE6">
      <w:pPr>
        <w:pStyle w:val="Listenabsatz"/>
        <w:numPr>
          <w:ilvl w:val="0"/>
          <w:numId w:val="9"/>
        </w:numPr>
        <w:tabs>
          <w:tab w:val="left" w:pos="2200"/>
        </w:tabs>
        <w:spacing w:after="0"/>
        <w:jc w:val="both"/>
        <w:rPr>
          <w:sz w:val="14"/>
          <w:szCs w:val="14"/>
        </w:rPr>
      </w:pPr>
      <w:r w:rsidRPr="00FA0DE6">
        <w:rPr>
          <w:sz w:val="14"/>
          <w:szCs w:val="14"/>
        </w:rPr>
        <w:t>Landeswassergesetz</w:t>
      </w:r>
    </w:p>
    <w:p w:rsidR="00F83D1E" w:rsidRPr="00FA0DE6" w:rsidRDefault="00F83D1E" w:rsidP="00FA0DE6">
      <w:pPr>
        <w:pStyle w:val="Listenabsatz"/>
        <w:numPr>
          <w:ilvl w:val="0"/>
          <w:numId w:val="9"/>
        </w:numPr>
        <w:tabs>
          <w:tab w:val="left" w:pos="2200"/>
        </w:tabs>
        <w:spacing w:after="0"/>
        <w:jc w:val="both"/>
        <w:rPr>
          <w:sz w:val="14"/>
          <w:szCs w:val="14"/>
        </w:rPr>
      </w:pPr>
      <w:r w:rsidRPr="00FA0DE6">
        <w:rPr>
          <w:sz w:val="14"/>
          <w:szCs w:val="14"/>
        </w:rPr>
        <w:t>Anlagenverordnung</w:t>
      </w:r>
    </w:p>
    <w:p w:rsidR="00F83D1E" w:rsidRPr="00FA0DE6" w:rsidRDefault="00F83D1E" w:rsidP="00FA0DE6">
      <w:pPr>
        <w:pStyle w:val="Listenabsatz"/>
        <w:numPr>
          <w:ilvl w:val="0"/>
          <w:numId w:val="9"/>
        </w:numPr>
        <w:tabs>
          <w:tab w:val="left" w:pos="2200"/>
        </w:tabs>
        <w:spacing w:after="0"/>
        <w:jc w:val="both"/>
        <w:rPr>
          <w:sz w:val="14"/>
          <w:szCs w:val="14"/>
        </w:rPr>
      </w:pPr>
      <w:r w:rsidRPr="00FA0DE6">
        <w:rPr>
          <w:sz w:val="14"/>
          <w:szCs w:val="14"/>
        </w:rPr>
        <w:t>Verwaltungsvorschriften zur Anlagenverordnung</w:t>
      </w:r>
    </w:p>
    <w:p w:rsidR="00F83D1E" w:rsidRPr="00FA0DE6" w:rsidRDefault="00F83D1E" w:rsidP="00FA0DE6">
      <w:pPr>
        <w:pStyle w:val="Listenabsatz"/>
        <w:numPr>
          <w:ilvl w:val="0"/>
          <w:numId w:val="9"/>
        </w:numPr>
        <w:tabs>
          <w:tab w:val="left" w:pos="2200"/>
        </w:tabs>
        <w:spacing w:after="0"/>
        <w:jc w:val="both"/>
        <w:rPr>
          <w:sz w:val="14"/>
          <w:szCs w:val="14"/>
        </w:rPr>
      </w:pPr>
      <w:r w:rsidRPr="00FA0DE6">
        <w:rPr>
          <w:sz w:val="14"/>
          <w:szCs w:val="14"/>
        </w:rPr>
        <w:t>Unfallverhütungsvorschrift BGV A 1</w:t>
      </w:r>
    </w:p>
    <w:p w:rsidR="00F83D1E" w:rsidRPr="00FA0DE6" w:rsidRDefault="00F83D1E" w:rsidP="00FA0DE6">
      <w:pPr>
        <w:tabs>
          <w:tab w:val="left" w:pos="2200"/>
        </w:tabs>
        <w:spacing w:after="0"/>
        <w:jc w:val="both"/>
        <w:rPr>
          <w:sz w:val="14"/>
          <w:szCs w:val="14"/>
        </w:rPr>
      </w:pPr>
    </w:p>
    <w:p w:rsidR="00F83D1E" w:rsidRPr="00FA0DE6" w:rsidRDefault="00F83D1E" w:rsidP="00FA0DE6">
      <w:pPr>
        <w:pStyle w:val="Listenabsatz"/>
        <w:numPr>
          <w:ilvl w:val="0"/>
          <w:numId w:val="5"/>
        </w:numPr>
        <w:tabs>
          <w:tab w:val="left" w:pos="2200"/>
        </w:tabs>
        <w:spacing w:after="0"/>
        <w:jc w:val="both"/>
        <w:rPr>
          <w:b/>
          <w:sz w:val="14"/>
          <w:szCs w:val="14"/>
        </w:rPr>
      </w:pPr>
      <w:r w:rsidRPr="00FA0DE6">
        <w:rPr>
          <w:b/>
          <w:sz w:val="14"/>
          <w:szCs w:val="14"/>
        </w:rPr>
        <w:t>Aufstellung</w:t>
      </w:r>
    </w:p>
    <w:p w:rsidR="003A704F" w:rsidRPr="00FA0DE6" w:rsidRDefault="00F83D1E" w:rsidP="00FA0DE6">
      <w:pPr>
        <w:tabs>
          <w:tab w:val="left" w:pos="2200"/>
        </w:tabs>
        <w:spacing w:after="0"/>
        <w:ind w:left="360"/>
        <w:jc w:val="both"/>
        <w:rPr>
          <w:sz w:val="14"/>
          <w:szCs w:val="14"/>
        </w:rPr>
      </w:pPr>
      <w:r w:rsidRPr="00FA0DE6">
        <w:rPr>
          <w:sz w:val="14"/>
          <w:szCs w:val="14"/>
        </w:rPr>
        <w:t xml:space="preserve">Die Auffangwannen dürfen nur auf ebenen und befestigten Flächen (z.B. Asphalt, Beton) aufgestellt werden. Grundsätzlich sind Auffangwannen so aufzustellen, dass Niederschlagswasser nicht in oder unter die Auffangwanne </w:t>
      </w:r>
      <w:r w:rsidR="003A704F" w:rsidRPr="00FA0DE6">
        <w:rPr>
          <w:sz w:val="14"/>
          <w:szCs w:val="14"/>
        </w:rPr>
        <w:t xml:space="preserve">  </w:t>
      </w:r>
    </w:p>
    <w:p w:rsidR="00F83D1E" w:rsidRPr="00FA0DE6" w:rsidRDefault="00F83D1E" w:rsidP="00FA0DE6">
      <w:pPr>
        <w:tabs>
          <w:tab w:val="left" w:pos="2200"/>
        </w:tabs>
        <w:spacing w:after="0"/>
        <w:ind w:left="360"/>
        <w:jc w:val="both"/>
        <w:rPr>
          <w:sz w:val="14"/>
          <w:szCs w:val="14"/>
        </w:rPr>
      </w:pPr>
      <w:r w:rsidRPr="00FA0DE6">
        <w:rPr>
          <w:sz w:val="14"/>
          <w:szCs w:val="14"/>
        </w:rPr>
        <w:t>gelangen kann. Die Aufstellung muss so erfolgen, dass</w:t>
      </w:r>
    </w:p>
    <w:p w:rsidR="00F83D1E" w:rsidRPr="00FA0DE6" w:rsidRDefault="00F83D1E" w:rsidP="00FA0DE6">
      <w:pPr>
        <w:pStyle w:val="Listenabsatz"/>
        <w:numPr>
          <w:ilvl w:val="0"/>
          <w:numId w:val="10"/>
        </w:numPr>
        <w:tabs>
          <w:tab w:val="left" w:pos="2200"/>
        </w:tabs>
        <w:spacing w:after="0"/>
        <w:jc w:val="both"/>
        <w:rPr>
          <w:sz w:val="14"/>
          <w:szCs w:val="14"/>
        </w:rPr>
      </w:pPr>
      <w:r w:rsidRPr="00FA0DE6">
        <w:rPr>
          <w:sz w:val="14"/>
          <w:szCs w:val="14"/>
        </w:rPr>
        <w:t>Die Innen- und Unterseite der Auffangwanne jederzeit kontrolliert werden und</w:t>
      </w:r>
    </w:p>
    <w:p w:rsidR="00F83D1E" w:rsidRPr="00FA0DE6" w:rsidRDefault="00F83D1E" w:rsidP="00FA0DE6">
      <w:pPr>
        <w:pStyle w:val="Listenabsatz"/>
        <w:numPr>
          <w:ilvl w:val="0"/>
          <w:numId w:val="10"/>
        </w:numPr>
        <w:tabs>
          <w:tab w:val="left" w:pos="2200"/>
        </w:tabs>
        <w:spacing w:after="0"/>
        <w:jc w:val="both"/>
        <w:rPr>
          <w:sz w:val="14"/>
          <w:szCs w:val="14"/>
        </w:rPr>
      </w:pPr>
      <w:r w:rsidRPr="00FA0DE6">
        <w:rPr>
          <w:sz w:val="14"/>
          <w:szCs w:val="14"/>
        </w:rPr>
        <w:t xml:space="preserve">Eine Beschädigung von außen durch Fahrzeuge jeglicher Bauart </w:t>
      </w:r>
      <w:r w:rsidR="00EB2FC0">
        <w:rPr>
          <w:sz w:val="14"/>
          <w:szCs w:val="14"/>
        </w:rPr>
        <w:t xml:space="preserve">  </w:t>
      </w:r>
      <w:r w:rsidRPr="00FA0DE6">
        <w:rPr>
          <w:sz w:val="14"/>
          <w:szCs w:val="14"/>
        </w:rPr>
        <w:t>nicht erfolgen kann.</w:t>
      </w:r>
    </w:p>
    <w:p w:rsidR="003A704F" w:rsidRPr="00FA0DE6" w:rsidRDefault="003A704F" w:rsidP="00FA0DE6">
      <w:pPr>
        <w:tabs>
          <w:tab w:val="left" w:pos="2200"/>
        </w:tabs>
        <w:spacing w:after="0"/>
        <w:jc w:val="both"/>
        <w:rPr>
          <w:sz w:val="14"/>
          <w:szCs w:val="14"/>
        </w:rPr>
      </w:pPr>
      <w:r w:rsidRPr="00FA0DE6">
        <w:rPr>
          <w:sz w:val="14"/>
          <w:szCs w:val="14"/>
        </w:rPr>
        <w:t xml:space="preserve">     </w:t>
      </w:r>
      <w:r w:rsidR="00F140A0">
        <w:rPr>
          <w:sz w:val="14"/>
          <w:szCs w:val="14"/>
        </w:rPr>
        <w:t xml:space="preserve">  </w:t>
      </w:r>
      <w:r w:rsidRPr="00FA0DE6">
        <w:rPr>
          <w:sz w:val="14"/>
          <w:szCs w:val="14"/>
        </w:rPr>
        <w:t xml:space="preserve"> </w:t>
      </w:r>
      <w:r w:rsidR="00EB2FC0">
        <w:rPr>
          <w:sz w:val="14"/>
          <w:szCs w:val="14"/>
        </w:rPr>
        <w:t xml:space="preserve">  </w:t>
      </w:r>
      <w:r w:rsidRPr="00FA0DE6">
        <w:rPr>
          <w:sz w:val="14"/>
          <w:szCs w:val="14"/>
        </w:rPr>
        <w:t xml:space="preserve">  </w:t>
      </w:r>
      <w:r w:rsidR="00F83D1E" w:rsidRPr="00FA0DE6">
        <w:rPr>
          <w:sz w:val="14"/>
          <w:szCs w:val="14"/>
        </w:rPr>
        <w:t xml:space="preserve">Eine mögliche Beschädigung der Auffangwanne ist </w:t>
      </w:r>
      <w:r w:rsidRPr="00FA0DE6">
        <w:rPr>
          <w:sz w:val="14"/>
          <w:szCs w:val="14"/>
        </w:rPr>
        <w:t xml:space="preserve">   </w:t>
      </w:r>
    </w:p>
    <w:p w:rsidR="00F83D1E" w:rsidRPr="00FA0DE6" w:rsidRDefault="003A704F" w:rsidP="00FA0DE6">
      <w:pPr>
        <w:tabs>
          <w:tab w:val="left" w:pos="2200"/>
        </w:tabs>
        <w:spacing w:after="0"/>
        <w:jc w:val="both"/>
        <w:rPr>
          <w:sz w:val="14"/>
          <w:szCs w:val="14"/>
        </w:rPr>
      </w:pPr>
      <w:r w:rsidRPr="00FA0DE6">
        <w:rPr>
          <w:sz w:val="14"/>
          <w:szCs w:val="14"/>
        </w:rPr>
        <w:t xml:space="preserve">    </w:t>
      </w:r>
      <w:r w:rsidR="00F140A0">
        <w:rPr>
          <w:sz w:val="14"/>
          <w:szCs w:val="14"/>
        </w:rPr>
        <w:t xml:space="preserve">  </w:t>
      </w:r>
      <w:r w:rsidR="00EB2FC0">
        <w:rPr>
          <w:sz w:val="14"/>
          <w:szCs w:val="14"/>
        </w:rPr>
        <w:t xml:space="preserve"> </w:t>
      </w:r>
      <w:r w:rsidRPr="00FA0DE6">
        <w:rPr>
          <w:sz w:val="14"/>
          <w:szCs w:val="14"/>
        </w:rPr>
        <w:t xml:space="preserve">  </w:t>
      </w:r>
      <w:r w:rsidR="00EB2FC0">
        <w:rPr>
          <w:sz w:val="14"/>
          <w:szCs w:val="14"/>
        </w:rPr>
        <w:t xml:space="preserve"> </w:t>
      </w:r>
      <w:r w:rsidRPr="00FA0DE6">
        <w:rPr>
          <w:sz w:val="14"/>
          <w:szCs w:val="14"/>
        </w:rPr>
        <w:t xml:space="preserve">  </w:t>
      </w:r>
      <w:r w:rsidR="00F83D1E" w:rsidRPr="00FA0DE6">
        <w:rPr>
          <w:sz w:val="14"/>
          <w:szCs w:val="14"/>
        </w:rPr>
        <w:t>beispielsweise durch</w:t>
      </w:r>
    </w:p>
    <w:p w:rsidR="003A704F" w:rsidRPr="00FA0DE6" w:rsidRDefault="00F83D1E" w:rsidP="00FA0DE6">
      <w:pPr>
        <w:pStyle w:val="Listenabsatz"/>
        <w:numPr>
          <w:ilvl w:val="0"/>
          <w:numId w:val="17"/>
        </w:numPr>
        <w:tabs>
          <w:tab w:val="left" w:pos="2200"/>
        </w:tabs>
        <w:spacing w:after="0"/>
        <w:jc w:val="both"/>
        <w:rPr>
          <w:sz w:val="14"/>
          <w:szCs w:val="14"/>
        </w:rPr>
      </w:pPr>
      <w:r w:rsidRPr="00FA0DE6">
        <w:rPr>
          <w:sz w:val="14"/>
          <w:szCs w:val="14"/>
        </w:rPr>
        <w:t>Eine geschützte</w:t>
      </w:r>
      <w:r w:rsidR="003A704F" w:rsidRPr="00FA0DE6">
        <w:rPr>
          <w:sz w:val="14"/>
          <w:szCs w:val="14"/>
        </w:rPr>
        <w:t xml:space="preserve"> Aufstellung außerhalb vorhandener oder möglicher Verkehrswege, oder</w:t>
      </w:r>
    </w:p>
    <w:p w:rsidR="003A704F" w:rsidRPr="00FA0DE6" w:rsidRDefault="003A704F" w:rsidP="00FA0DE6">
      <w:pPr>
        <w:pStyle w:val="Listenabsatz"/>
        <w:numPr>
          <w:ilvl w:val="0"/>
          <w:numId w:val="17"/>
        </w:numPr>
        <w:tabs>
          <w:tab w:val="left" w:pos="2200"/>
        </w:tabs>
        <w:spacing w:after="0"/>
        <w:jc w:val="both"/>
        <w:rPr>
          <w:sz w:val="14"/>
          <w:szCs w:val="14"/>
        </w:rPr>
      </w:pPr>
      <w:r w:rsidRPr="00FA0DE6">
        <w:rPr>
          <w:sz w:val="14"/>
          <w:szCs w:val="14"/>
        </w:rPr>
        <w:t>Einem Anfahrschutz oder</w:t>
      </w:r>
    </w:p>
    <w:p w:rsidR="003A704F" w:rsidRPr="00FA0DE6" w:rsidRDefault="003A704F" w:rsidP="00FA0DE6">
      <w:pPr>
        <w:pStyle w:val="Listenabsatz"/>
        <w:numPr>
          <w:ilvl w:val="0"/>
          <w:numId w:val="17"/>
        </w:numPr>
        <w:tabs>
          <w:tab w:val="left" w:pos="2200"/>
        </w:tabs>
        <w:spacing w:after="0"/>
        <w:jc w:val="both"/>
        <w:rPr>
          <w:sz w:val="14"/>
          <w:szCs w:val="14"/>
        </w:rPr>
      </w:pPr>
      <w:r w:rsidRPr="00FA0DE6">
        <w:rPr>
          <w:sz w:val="14"/>
          <w:szCs w:val="14"/>
        </w:rPr>
        <w:t>Aufstellung in einem separatem Raum vermeidbar.</w:t>
      </w:r>
    </w:p>
    <w:p w:rsidR="003A704F" w:rsidRPr="00FA0DE6" w:rsidRDefault="003A704F" w:rsidP="00FA0DE6">
      <w:pPr>
        <w:tabs>
          <w:tab w:val="left" w:pos="2200"/>
        </w:tabs>
        <w:spacing w:after="0"/>
        <w:jc w:val="both"/>
        <w:rPr>
          <w:sz w:val="14"/>
          <w:szCs w:val="14"/>
        </w:rPr>
      </w:pPr>
      <w:r w:rsidRPr="00FA0DE6">
        <w:rPr>
          <w:sz w:val="14"/>
          <w:szCs w:val="14"/>
        </w:rPr>
        <w:t xml:space="preserve">   </w:t>
      </w:r>
      <w:r w:rsidR="00F140A0">
        <w:rPr>
          <w:sz w:val="14"/>
          <w:szCs w:val="14"/>
        </w:rPr>
        <w:t xml:space="preserve">  </w:t>
      </w:r>
      <w:r w:rsidRPr="00FA0DE6">
        <w:rPr>
          <w:sz w:val="14"/>
          <w:szCs w:val="14"/>
        </w:rPr>
        <w:t xml:space="preserve"> </w:t>
      </w:r>
      <w:r w:rsidR="00EB2FC0">
        <w:rPr>
          <w:sz w:val="14"/>
          <w:szCs w:val="14"/>
        </w:rPr>
        <w:t xml:space="preserve">  </w:t>
      </w:r>
      <w:r w:rsidRPr="00FA0DE6">
        <w:rPr>
          <w:sz w:val="14"/>
          <w:szCs w:val="14"/>
        </w:rPr>
        <w:t xml:space="preserve">   Eine Aufstellung der Auffangwanne im Freien darf unter einem  </w:t>
      </w:r>
    </w:p>
    <w:p w:rsidR="003A704F" w:rsidRPr="00FA0DE6" w:rsidRDefault="003A704F" w:rsidP="00FA0DE6">
      <w:pPr>
        <w:tabs>
          <w:tab w:val="left" w:pos="2200"/>
        </w:tabs>
        <w:spacing w:after="0"/>
        <w:jc w:val="both"/>
        <w:rPr>
          <w:sz w:val="14"/>
          <w:szCs w:val="14"/>
        </w:rPr>
      </w:pPr>
      <w:r w:rsidRPr="00FA0DE6">
        <w:rPr>
          <w:sz w:val="14"/>
          <w:szCs w:val="14"/>
        </w:rPr>
        <w:t xml:space="preserve">   </w:t>
      </w:r>
      <w:r w:rsidR="00F140A0">
        <w:rPr>
          <w:sz w:val="14"/>
          <w:szCs w:val="14"/>
        </w:rPr>
        <w:t xml:space="preserve">  </w:t>
      </w:r>
      <w:r w:rsidRPr="00FA0DE6">
        <w:rPr>
          <w:sz w:val="14"/>
          <w:szCs w:val="14"/>
        </w:rPr>
        <w:t xml:space="preserve"> </w:t>
      </w:r>
      <w:r w:rsidR="00EB2FC0">
        <w:rPr>
          <w:sz w:val="14"/>
          <w:szCs w:val="14"/>
        </w:rPr>
        <w:t xml:space="preserve">  </w:t>
      </w:r>
      <w:r w:rsidR="00F140A0">
        <w:rPr>
          <w:sz w:val="14"/>
          <w:szCs w:val="14"/>
        </w:rPr>
        <w:t xml:space="preserve"> </w:t>
      </w:r>
      <w:r w:rsidRPr="00FA0DE6">
        <w:rPr>
          <w:sz w:val="14"/>
          <w:szCs w:val="14"/>
        </w:rPr>
        <w:t xml:space="preserve">  geschlossenen Aufbau vorgenommen werden. </w:t>
      </w:r>
    </w:p>
    <w:p w:rsidR="003A704F" w:rsidRPr="00FA0DE6" w:rsidRDefault="003A704F" w:rsidP="00FA0DE6">
      <w:pPr>
        <w:tabs>
          <w:tab w:val="left" w:pos="2200"/>
        </w:tabs>
        <w:spacing w:after="0"/>
        <w:jc w:val="both"/>
        <w:rPr>
          <w:sz w:val="14"/>
          <w:szCs w:val="14"/>
        </w:rPr>
      </w:pPr>
      <w:r w:rsidRPr="00FA0DE6">
        <w:rPr>
          <w:sz w:val="14"/>
          <w:szCs w:val="14"/>
        </w:rPr>
        <w:t xml:space="preserve">   </w:t>
      </w:r>
      <w:r w:rsidR="00F140A0">
        <w:rPr>
          <w:sz w:val="14"/>
          <w:szCs w:val="14"/>
        </w:rPr>
        <w:t xml:space="preserve">  </w:t>
      </w:r>
      <w:r w:rsidR="00EB2FC0">
        <w:rPr>
          <w:sz w:val="14"/>
          <w:szCs w:val="14"/>
        </w:rPr>
        <w:t xml:space="preserve"> </w:t>
      </w:r>
      <w:r w:rsidRPr="00FA0DE6">
        <w:rPr>
          <w:sz w:val="14"/>
          <w:szCs w:val="14"/>
        </w:rPr>
        <w:t xml:space="preserve"> </w:t>
      </w:r>
      <w:r w:rsidR="00EB2FC0">
        <w:rPr>
          <w:sz w:val="14"/>
          <w:szCs w:val="14"/>
        </w:rPr>
        <w:t xml:space="preserve"> </w:t>
      </w:r>
      <w:r w:rsidRPr="00FA0DE6">
        <w:rPr>
          <w:sz w:val="14"/>
          <w:szCs w:val="14"/>
        </w:rPr>
        <w:t xml:space="preserve"> </w:t>
      </w:r>
      <w:r w:rsidR="00F140A0">
        <w:rPr>
          <w:sz w:val="14"/>
          <w:szCs w:val="14"/>
        </w:rPr>
        <w:t xml:space="preserve">  </w:t>
      </w:r>
      <w:r w:rsidRPr="00FA0DE6">
        <w:rPr>
          <w:sz w:val="14"/>
          <w:szCs w:val="14"/>
        </w:rPr>
        <w:t>Niederschlagswasser darf nicht in die Wanne gelangen.</w:t>
      </w:r>
      <w:r w:rsidRPr="00FA0DE6">
        <w:rPr>
          <w:noProof/>
          <w:sz w:val="14"/>
          <w:szCs w:val="14"/>
          <w:lang w:eastAsia="de-DE"/>
        </w:rPr>
        <w:t xml:space="preserve"> </w:t>
      </w:r>
    </w:p>
    <w:p w:rsidR="003A704F" w:rsidRPr="00FA0DE6" w:rsidRDefault="0023012C" w:rsidP="00FA0DE6">
      <w:pPr>
        <w:tabs>
          <w:tab w:val="left" w:pos="2200"/>
        </w:tabs>
        <w:spacing w:after="0"/>
        <w:jc w:val="both"/>
        <w:rPr>
          <w:sz w:val="14"/>
          <w:szCs w:val="14"/>
        </w:rPr>
      </w:pPr>
      <w:r w:rsidRPr="00FA0DE6">
        <w:rPr>
          <w:noProof/>
          <w:sz w:val="14"/>
          <w:szCs w:val="14"/>
          <w:lang w:eastAsia="de-DE"/>
        </w:rPr>
        <w:drawing>
          <wp:anchor distT="0" distB="0" distL="114300" distR="114300" simplePos="0" relativeHeight="251660288" behindDoc="1" locked="0" layoutInCell="1" allowOverlap="1" wp14:anchorId="471197EC" wp14:editId="08FE1F17">
            <wp:simplePos x="0" y="0"/>
            <wp:positionH relativeFrom="column">
              <wp:posOffset>-82550</wp:posOffset>
            </wp:positionH>
            <wp:positionV relativeFrom="paragraph">
              <wp:posOffset>111760</wp:posOffset>
            </wp:positionV>
            <wp:extent cx="368300" cy="368300"/>
            <wp:effectExtent l="0" t="0" r="0" b="0"/>
            <wp:wrapNone/>
            <wp:docPr id="3" name="Bild 1" descr="http://www.brewes.de/bilder/kategorie/popup/hinweisschilder-fuer-universal-schilderstaender-hinweisschilder-fuer-schilderstaender-allgemeine-gefahrenstelle-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ewes.de/bilder/kategorie/popup/hinweisschilder-fuer-universal-schilderstaender-hinweisschilder-fuer-schilderstaender-allgemeine-gefahrenstelle-368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04F" w:rsidRPr="00FA0DE6" w:rsidRDefault="003A704F" w:rsidP="00FA0DE6">
      <w:pPr>
        <w:tabs>
          <w:tab w:val="left" w:pos="2200"/>
        </w:tabs>
        <w:spacing w:after="0"/>
        <w:jc w:val="both"/>
        <w:rPr>
          <w:sz w:val="14"/>
          <w:szCs w:val="14"/>
        </w:rPr>
      </w:pPr>
      <w:r w:rsidRPr="00FA0DE6">
        <w:rPr>
          <w:sz w:val="14"/>
          <w:szCs w:val="14"/>
        </w:rPr>
        <w:t xml:space="preserve">               Eine Nichtbeachtung dieser Vorgaben kann zu Schäden an                            </w:t>
      </w:r>
    </w:p>
    <w:p w:rsidR="003A704F" w:rsidRPr="00FA0DE6" w:rsidRDefault="003A704F" w:rsidP="00FA0DE6">
      <w:pPr>
        <w:tabs>
          <w:tab w:val="left" w:pos="2200"/>
        </w:tabs>
        <w:spacing w:after="0"/>
        <w:jc w:val="both"/>
        <w:rPr>
          <w:sz w:val="14"/>
          <w:szCs w:val="14"/>
        </w:rPr>
      </w:pPr>
      <w:r w:rsidRPr="00FA0DE6">
        <w:rPr>
          <w:sz w:val="14"/>
          <w:szCs w:val="14"/>
        </w:rPr>
        <w:t xml:space="preserve">               der Auffangwanne führen und wassergefährdende Stoffe </w:t>
      </w:r>
    </w:p>
    <w:p w:rsidR="0023012C" w:rsidRPr="00FA0DE6" w:rsidRDefault="003A704F" w:rsidP="00FA0DE6">
      <w:pPr>
        <w:tabs>
          <w:tab w:val="left" w:pos="2200"/>
        </w:tabs>
        <w:spacing w:after="0"/>
        <w:jc w:val="both"/>
        <w:rPr>
          <w:sz w:val="14"/>
          <w:szCs w:val="14"/>
        </w:rPr>
      </w:pPr>
      <w:r w:rsidRPr="00FA0DE6">
        <w:rPr>
          <w:sz w:val="14"/>
          <w:szCs w:val="14"/>
        </w:rPr>
        <w:t xml:space="preserve">               können den Boden und das Gewässer verunreinigen.</w:t>
      </w:r>
    </w:p>
    <w:p w:rsidR="0023012C" w:rsidRPr="00FA0DE6" w:rsidRDefault="0023012C" w:rsidP="00FA0DE6">
      <w:pPr>
        <w:tabs>
          <w:tab w:val="left" w:pos="2200"/>
        </w:tabs>
        <w:spacing w:after="0"/>
        <w:jc w:val="both"/>
        <w:rPr>
          <w:sz w:val="14"/>
          <w:szCs w:val="14"/>
        </w:rPr>
      </w:pPr>
    </w:p>
    <w:p w:rsidR="0023012C" w:rsidRPr="00FA0DE6" w:rsidRDefault="0023012C" w:rsidP="00FA0DE6">
      <w:pPr>
        <w:pStyle w:val="Listenabsatz"/>
        <w:numPr>
          <w:ilvl w:val="0"/>
          <w:numId w:val="5"/>
        </w:numPr>
        <w:tabs>
          <w:tab w:val="left" w:pos="2200"/>
        </w:tabs>
        <w:spacing w:after="0"/>
        <w:jc w:val="both"/>
        <w:rPr>
          <w:b/>
          <w:sz w:val="14"/>
          <w:szCs w:val="14"/>
        </w:rPr>
      </w:pPr>
      <w:r w:rsidRPr="00FA0DE6">
        <w:rPr>
          <w:b/>
          <w:sz w:val="14"/>
          <w:szCs w:val="14"/>
        </w:rPr>
        <w:t>Zuverlässiger Betrieb</w:t>
      </w:r>
    </w:p>
    <w:p w:rsidR="000409F4" w:rsidRDefault="00EE5FF9" w:rsidP="00FA0DE6">
      <w:pPr>
        <w:tabs>
          <w:tab w:val="left" w:pos="2200"/>
        </w:tabs>
        <w:spacing w:after="0"/>
        <w:ind w:left="360"/>
        <w:jc w:val="both"/>
        <w:rPr>
          <w:sz w:val="14"/>
          <w:szCs w:val="14"/>
        </w:rPr>
      </w:pPr>
      <w:r w:rsidRPr="00FA0DE6">
        <w:rPr>
          <w:sz w:val="14"/>
          <w:szCs w:val="14"/>
        </w:rPr>
        <w:t xml:space="preserve">Die Auffangwanne ist für die Lagerung wassergefährdender Stoffe geeignet und erfüllt sie wasserrechtlichen Anforderungen. Ortsbewegliche Behälter mit einem Rauminhalt bis 1.000 Liter müssen auf die bzw. in die Auffangwanne so aufgestellt werden, dass jederzeit durch eine Sichtkontrolle festgestellt werden kann, ob Fremdstoffe in die Auffangwanne gelangten. Ist die Auffangwanne nicht einsehbar, muss durch entsprechend geeignete Maßnahmen gewährleistet sein, dass </w:t>
      </w:r>
      <w:proofErr w:type="spellStart"/>
      <w:r w:rsidRPr="00FA0DE6">
        <w:rPr>
          <w:sz w:val="14"/>
          <w:szCs w:val="14"/>
        </w:rPr>
        <w:t>Lackagen</w:t>
      </w:r>
      <w:proofErr w:type="spellEnd"/>
      <w:r w:rsidRPr="00FA0DE6">
        <w:rPr>
          <w:sz w:val="14"/>
          <w:szCs w:val="14"/>
        </w:rPr>
        <w:t xml:space="preserve">, z.B. durch </w:t>
      </w:r>
      <w:proofErr w:type="spellStart"/>
      <w:r w:rsidRPr="00FA0DE6">
        <w:rPr>
          <w:sz w:val="14"/>
          <w:szCs w:val="14"/>
        </w:rPr>
        <w:t>Leckagesonden</w:t>
      </w:r>
      <w:proofErr w:type="spellEnd"/>
      <w:r w:rsidRPr="00FA0DE6">
        <w:rPr>
          <w:sz w:val="14"/>
          <w:szCs w:val="14"/>
        </w:rPr>
        <w:t xml:space="preserve">, sicher erkannt werden können. Grundsätzlich muss das Fassungsvermögen der Auffangwanne den Rauminhalt des in oder auf ihr stehenden Behälter aufnehmen können. Stehen mehrere Behälter in oder auf einer Auffangwanne muss 10% des Gesamtvolumens aller aufstellten Behälter, mindestens jedoch den Inhalt des größten Behälters, von der Auffangwanne aufgenommen werden können. Sind Auffangwannen im Bereich einer Wasserschutzzone aufgestellt, muss das Gesamtvolumen aller in oder auf der Auffangwanne gestellten Behälter durch das Fassungsvermögen der Auffangwanne zurückgehalten werden können. Ist die Auffangwanne mit einem Gitterrost abgedeckt, darf </w:t>
      </w:r>
      <w:proofErr w:type="gramStart"/>
      <w:r w:rsidRPr="00FA0DE6">
        <w:rPr>
          <w:sz w:val="14"/>
          <w:szCs w:val="14"/>
        </w:rPr>
        <w:t>ein defektes</w:t>
      </w:r>
      <w:proofErr w:type="gramEnd"/>
      <w:r w:rsidRPr="00FA0DE6">
        <w:rPr>
          <w:sz w:val="14"/>
          <w:szCs w:val="14"/>
        </w:rPr>
        <w:t xml:space="preserve"> Gitterrost nur durch ein Gitterrost gleicher Bauart und gleicher Traglast ersetzt werden.</w:t>
      </w:r>
      <w:r w:rsidR="007A6A78" w:rsidRPr="00FA0DE6">
        <w:rPr>
          <w:sz w:val="14"/>
          <w:szCs w:val="14"/>
        </w:rPr>
        <w:t xml:space="preserve"> Auffangwannen sind arbeitstäglich einer Sichtkontrolle auf Fremdstoffe zu unterziehen. Werden Fremdstoffe festgestellt, sind diese umgehend aus der Auffangwanne zu entfernen und ordnungsgemäß zu entsorgen. Ortsbewegliche Behälter, Fässer, Tankcontainer gemäß </w:t>
      </w:r>
      <w:proofErr w:type="spellStart"/>
      <w:r w:rsidR="007A6A78" w:rsidRPr="00FA0DE6">
        <w:rPr>
          <w:sz w:val="14"/>
          <w:szCs w:val="14"/>
        </w:rPr>
        <w:t>TRbF</w:t>
      </w:r>
      <w:proofErr w:type="spellEnd"/>
      <w:r w:rsidR="007A6A78" w:rsidRPr="00FA0DE6">
        <w:rPr>
          <w:sz w:val="14"/>
          <w:szCs w:val="14"/>
        </w:rPr>
        <w:t xml:space="preserve"> 142 und </w:t>
      </w:r>
      <w:proofErr w:type="spellStart"/>
      <w:r w:rsidR="007A6A78" w:rsidRPr="00FA0DE6">
        <w:rPr>
          <w:sz w:val="14"/>
          <w:szCs w:val="14"/>
        </w:rPr>
        <w:t>IBC`s</w:t>
      </w:r>
      <w:proofErr w:type="spellEnd"/>
      <w:r w:rsidR="007A6A78" w:rsidRPr="00FA0DE6">
        <w:rPr>
          <w:sz w:val="14"/>
          <w:szCs w:val="14"/>
        </w:rPr>
        <w:t xml:space="preserve"> dürfen auf einer Auffangwanne nur gemäß den gefahrgutrechtlichen </w:t>
      </w:r>
    </w:p>
    <w:p w:rsidR="000409F4" w:rsidRDefault="000409F4" w:rsidP="00FA0DE6">
      <w:pPr>
        <w:tabs>
          <w:tab w:val="left" w:pos="2200"/>
        </w:tabs>
        <w:spacing w:after="0"/>
        <w:ind w:left="360"/>
        <w:jc w:val="both"/>
        <w:rPr>
          <w:sz w:val="14"/>
          <w:szCs w:val="14"/>
        </w:rPr>
      </w:pPr>
    </w:p>
    <w:p w:rsidR="0023012C" w:rsidRPr="00FA0DE6" w:rsidRDefault="007A6A78" w:rsidP="00FA0DE6">
      <w:pPr>
        <w:tabs>
          <w:tab w:val="left" w:pos="2200"/>
        </w:tabs>
        <w:spacing w:after="0"/>
        <w:ind w:left="360"/>
        <w:jc w:val="both"/>
        <w:rPr>
          <w:sz w:val="14"/>
          <w:szCs w:val="14"/>
        </w:rPr>
      </w:pPr>
      <w:r w:rsidRPr="00FA0DE6">
        <w:rPr>
          <w:sz w:val="14"/>
          <w:szCs w:val="14"/>
        </w:rPr>
        <w:t xml:space="preserve">Bestimmungen und den berufsgenossenschaftlichen Regelwerken gestapelt werden – zu beachten ist u.a. BGV A 1, ZH 1/428. Beim Lagern und Stapeln ist darauf zu achten, dass die Belastung von der Auffangwanne sicher aufgenommen werden kann. Stapel so zu errichten und zu erhalten, dass niemand durch herabfallende, umfallende oder wegrollende Behälter oder durch ausfließende Stoffe gefährdet wird. Bei lagenweiser Stapelung von Behältern ist zu berücksichtigen, dass durch das Eigengewicht einen Behälters oder einzelner Gefäße, aus denen die Lage gebildet wird, andere Behälter nicht eingedrückt und beschädigt werden. Schadhafte oder mit Mängeln behaftete Behälter dürfen nicht auf oder in die Auffangwanne gestellt werden. Über die gelagerten wassergefährdenden Stoffe ist eine Übersicht für jede Auffangwanne mit Angaben über die Lagermedien mit deren maximale Lagermenge zu führen. </w:t>
      </w:r>
      <w:r w:rsidR="00420FE7" w:rsidRPr="00FA0DE6">
        <w:rPr>
          <w:sz w:val="14"/>
          <w:szCs w:val="14"/>
        </w:rPr>
        <w:t>Sie ist bei Veränderungen fortzuschreiben. Bei der Einlagerung wassergefährdender Stoffe ist die Medienbeständigkeit der Auffangvorrichtung gegenüber dem Lagermedium zu prüfen.</w:t>
      </w:r>
    </w:p>
    <w:p w:rsidR="00420FE7" w:rsidRPr="00FA0DE6" w:rsidRDefault="00420FE7" w:rsidP="00FA0DE6">
      <w:pPr>
        <w:tabs>
          <w:tab w:val="left" w:pos="2200"/>
        </w:tabs>
        <w:spacing w:after="0"/>
        <w:ind w:left="360"/>
        <w:jc w:val="both"/>
        <w:rPr>
          <w:sz w:val="14"/>
          <w:szCs w:val="14"/>
        </w:rPr>
      </w:pPr>
      <w:r w:rsidRPr="00FA0DE6">
        <w:rPr>
          <w:sz w:val="14"/>
          <w:szCs w:val="14"/>
        </w:rPr>
        <w:t>Als Prüfunterlage kann herangezogen werden:</w:t>
      </w:r>
    </w:p>
    <w:p w:rsidR="00420FE7" w:rsidRPr="00FA0DE6" w:rsidRDefault="00420FE7" w:rsidP="00FA0DE6">
      <w:pPr>
        <w:pStyle w:val="Listenabsatz"/>
        <w:numPr>
          <w:ilvl w:val="0"/>
          <w:numId w:val="18"/>
        </w:numPr>
        <w:tabs>
          <w:tab w:val="left" w:pos="2200"/>
        </w:tabs>
        <w:spacing w:after="0"/>
        <w:jc w:val="both"/>
        <w:rPr>
          <w:sz w:val="14"/>
          <w:szCs w:val="14"/>
        </w:rPr>
      </w:pPr>
      <w:r w:rsidRPr="00FA0DE6">
        <w:rPr>
          <w:sz w:val="14"/>
          <w:szCs w:val="14"/>
        </w:rPr>
        <w:t>DIN 6601</w:t>
      </w:r>
    </w:p>
    <w:p w:rsidR="00420FE7" w:rsidRPr="00FA0DE6" w:rsidRDefault="00420FE7" w:rsidP="00FA0DE6">
      <w:pPr>
        <w:pStyle w:val="Listenabsatz"/>
        <w:numPr>
          <w:ilvl w:val="0"/>
          <w:numId w:val="18"/>
        </w:numPr>
        <w:tabs>
          <w:tab w:val="left" w:pos="2200"/>
        </w:tabs>
        <w:spacing w:after="0"/>
        <w:jc w:val="both"/>
        <w:rPr>
          <w:sz w:val="14"/>
          <w:szCs w:val="14"/>
        </w:rPr>
      </w:pPr>
      <w:r w:rsidRPr="00FA0DE6">
        <w:rPr>
          <w:sz w:val="14"/>
          <w:szCs w:val="14"/>
        </w:rPr>
        <w:t>Medienliste des „Deutschen Instituts für Bautechnik“</w:t>
      </w:r>
    </w:p>
    <w:p w:rsidR="00420FE7" w:rsidRPr="00FA0DE6" w:rsidRDefault="00420FE7" w:rsidP="00FA0DE6">
      <w:pPr>
        <w:pStyle w:val="Listenabsatz"/>
        <w:numPr>
          <w:ilvl w:val="0"/>
          <w:numId w:val="18"/>
        </w:numPr>
        <w:tabs>
          <w:tab w:val="left" w:pos="2200"/>
        </w:tabs>
        <w:spacing w:after="0"/>
        <w:jc w:val="both"/>
        <w:rPr>
          <w:sz w:val="14"/>
          <w:szCs w:val="14"/>
        </w:rPr>
      </w:pPr>
      <w:r w:rsidRPr="00FA0DE6">
        <w:rPr>
          <w:sz w:val="14"/>
          <w:szCs w:val="14"/>
        </w:rPr>
        <w:t>Behälter-Zulassung nach den gefahrgutrechtlichen Bestimmungen</w:t>
      </w:r>
    </w:p>
    <w:p w:rsidR="00420FE7" w:rsidRPr="00FA0DE6" w:rsidRDefault="00420FE7" w:rsidP="00FA0DE6">
      <w:pPr>
        <w:pStyle w:val="Listenabsatz"/>
        <w:numPr>
          <w:ilvl w:val="0"/>
          <w:numId w:val="18"/>
        </w:numPr>
        <w:tabs>
          <w:tab w:val="left" w:pos="2200"/>
        </w:tabs>
        <w:spacing w:after="0"/>
        <w:jc w:val="both"/>
        <w:rPr>
          <w:sz w:val="14"/>
          <w:szCs w:val="14"/>
        </w:rPr>
      </w:pPr>
      <w:r w:rsidRPr="00FA0DE6">
        <w:rPr>
          <w:sz w:val="14"/>
          <w:szCs w:val="14"/>
        </w:rPr>
        <w:t>Medienbeständigkeitsliste des Herstellers des Lagergutes</w:t>
      </w:r>
    </w:p>
    <w:p w:rsidR="00420FE7" w:rsidRPr="00FA0DE6" w:rsidRDefault="00420FE7" w:rsidP="00FA0DE6">
      <w:pPr>
        <w:pStyle w:val="Listenabsatz"/>
        <w:numPr>
          <w:ilvl w:val="0"/>
          <w:numId w:val="18"/>
        </w:numPr>
        <w:tabs>
          <w:tab w:val="left" w:pos="2200"/>
        </w:tabs>
        <w:spacing w:after="0"/>
        <w:jc w:val="both"/>
        <w:rPr>
          <w:sz w:val="14"/>
          <w:szCs w:val="14"/>
        </w:rPr>
      </w:pPr>
      <w:r w:rsidRPr="00FA0DE6">
        <w:rPr>
          <w:sz w:val="14"/>
          <w:szCs w:val="14"/>
        </w:rPr>
        <w:t>Erfahrungsnachweis</w:t>
      </w:r>
    </w:p>
    <w:p w:rsidR="00420FE7" w:rsidRPr="00FA0DE6" w:rsidRDefault="00420FE7" w:rsidP="00FA0DE6">
      <w:pPr>
        <w:tabs>
          <w:tab w:val="left" w:pos="2200"/>
        </w:tabs>
        <w:spacing w:after="0"/>
        <w:jc w:val="both"/>
        <w:rPr>
          <w:sz w:val="14"/>
          <w:szCs w:val="14"/>
        </w:rPr>
      </w:pPr>
      <w:r w:rsidRPr="00FA0DE6">
        <w:rPr>
          <w:sz w:val="14"/>
          <w:szCs w:val="14"/>
        </w:rPr>
        <w:t xml:space="preserve">             Das jeweils gültige Merkblatt „Betriebs- und Verhaltensvorschriften für den </w:t>
      </w:r>
    </w:p>
    <w:p w:rsidR="00420FE7" w:rsidRPr="00FA0DE6" w:rsidRDefault="00420FE7" w:rsidP="00FA0DE6">
      <w:pPr>
        <w:tabs>
          <w:tab w:val="left" w:pos="2200"/>
        </w:tabs>
        <w:spacing w:after="0"/>
        <w:jc w:val="both"/>
        <w:rPr>
          <w:sz w:val="14"/>
          <w:szCs w:val="14"/>
        </w:rPr>
      </w:pPr>
      <w:r w:rsidRPr="00FA0DE6">
        <w:rPr>
          <w:sz w:val="14"/>
          <w:szCs w:val="14"/>
        </w:rPr>
        <w:t xml:space="preserve">            Umgang mit wassergefährdenden Stoffen“ ist an gut sichtbarer Stelle in der </w:t>
      </w:r>
    </w:p>
    <w:p w:rsidR="00420FE7" w:rsidRPr="00FA0DE6" w:rsidRDefault="00420FE7" w:rsidP="00FA0DE6">
      <w:pPr>
        <w:tabs>
          <w:tab w:val="left" w:pos="2200"/>
        </w:tabs>
        <w:spacing w:after="0"/>
        <w:jc w:val="both"/>
        <w:rPr>
          <w:sz w:val="14"/>
          <w:szCs w:val="14"/>
        </w:rPr>
      </w:pPr>
      <w:r w:rsidRPr="00FA0DE6">
        <w:rPr>
          <w:sz w:val="14"/>
          <w:szCs w:val="14"/>
        </w:rPr>
        <w:t xml:space="preserve">            Nähe der Auffangvorrichtung anzubringen.</w:t>
      </w:r>
    </w:p>
    <w:p w:rsidR="00420FE7" w:rsidRPr="00FA0DE6" w:rsidRDefault="00420FE7" w:rsidP="00FA0DE6">
      <w:pPr>
        <w:tabs>
          <w:tab w:val="left" w:pos="2200"/>
        </w:tabs>
        <w:spacing w:after="0"/>
        <w:jc w:val="both"/>
        <w:rPr>
          <w:sz w:val="14"/>
          <w:szCs w:val="14"/>
        </w:rPr>
      </w:pPr>
    </w:p>
    <w:p w:rsidR="00420FE7" w:rsidRPr="00FA0DE6" w:rsidRDefault="00420FE7" w:rsidP="00FA0DE6">
      <w:pPr>
        <w:pStyle w:val="Listenabsatz"/>
        <w:numPr>
          <w:ilvl w:val="0"/>
          <w:numId w:val="5"/>
        </w:numPr>
        <w:tabs>
          <w:tab w:val="left" w:pos="2200"/>
        </w:tabs>
        <w:spacing w:after="0"/>
        <w:jc w:val="both"/>
        <w:rPr>
          <w:b/>
          <w:sz w:val="14"/>
          <w:szCs w:val="14"/>
        </w:rPr>
      </w:pPr>
      <w:r w:rsidRPr="00FA0DE6">
        <w:rPr>
          <w:b/>
          <w:sz w:val="14"/>
          <w:szCs w:val="14"/>
        </w:rPr>
        <w:t>Unzulässiger Betrieb</w:t>
      </w:r>
    </w:p>
    <w:p w:rsidR="007A1D85" w:rsidRPr="00FA0DE6" w:rsidRDefault="007A1D85" w:rsidP="00FA0DE6">
      <w:pPr>
        <w:tabs>
          <w:tab w:val="left" w:pos="2200"/>
        </w:tabs>
        <w:spacing w:after="0"/>
        <w:ind w:left="360"/>
        <w:jc w:val="both"/>
        <w:rPr>
          <w:sz w:val="14"/>
          <w:szCs w:val="14"/>
        </w:rPr>
      </w:pPr>
      <w:r w:rsidRPr="00FA0DE6">
        <w:rPr>
          <w:noProof/>
          <w:sz w:val="14"/>
          <w:szCs w:val="14"/>
          <w:lang w:eastAsia="de-DE"/>
        </w:rPr>
        <w:drawing>
          <wp:anchor distT="0" distB="0" distL="114300" distR="114300" simplePos="0" relativeHeight="251661312" behindDoc="1" locked="0" layoutInCell="1" allowOverlap="1" wp14:anchorId="17FB78F2" wp14:editId="255B893F">
            <wp:simplePos x="0" y="0"/>
            <wp:positionH relativeFrom="column">
              <wp:posOffset>192405</wp:posOffset>
            </wp:positionH>
            <wp:positionV relativeFrom="paragraph">
              <wp:posOffset>-635</wp:posOffset>
            </wp:positionV>
            <wp:extent cx="342900" cy="342900"/>
            <wp:effectExtent l="0" t="0" r="0" b="0"/>
            <wp:wrapNone/>
            <wp:docPr id="4" name="Bild 2" descr="http://www.brewes.de/bilder/kategorie/popup/hinweisschilder-fuer-universal-schilderstaender-hinweisschilder-fuer-schilderstaender-allgemeine-gefahrenstelle-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ewes.de/bilder/kategorie/popup/hinweisschilder-fuer-universal-schilderstaender-hinweisschilder-fuer-schilderstaender-allgemeine-gefahrenstelle-368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DE6">
        <w:rPr>
          <w:sz w:val="14"/>
          <w:szCs w:val="14"/>
        </w:rPr>
        <w:t xml:space="preserve">                  Beschädigte Behälter, aus denen wassergefährdende Stoffe </w:t>
      </w:r>
    </w:p>
    <w:p w:rsidR="007A1D85" w:rsidRPr="00FA0DE6" w:rsidRDefault="007A1D85" w:rsidP="00FA0DE6">
      <w:pPr>
        <w:tabs>
          <w:tab w:val="left" w:pos="2200"/>
        </w:tabs>
        <w:spacing w:after="0"/>
        <w:ind w:left="360"/>
        <w:jc w:val="both"/>
        <w:rPr>
          <w:sz w:val="14"/>
          <w:szCs w:val="14"/>
        </w:rPr>
      </w:pPr>
      <w:r w:rsidRPr="00FA0DE6">
        <w:rPr>
          <w:sz w:val="14"/>
          <w:szCs w:val="14"/>
        </w:rPr>
        <w:t xml:space="preserve">                  auslaufen können, dürfen nicht auf bzw. in der Auffangvorrichtung </w:t>
      </w:r>
    </w:p>
    <w:p w:rsidR="00420FE7" w:rsidRPr="00FA0DE6" w:rsidRDefault="007A1D85" w:rsidP="00FA0DE6">
      <w:pPr>
        <w:tabs>
          <w:tab w:val="left" w:pos="2200"/>
        </w:tabs>
        <w:spacing w:after="0"/>
        <w:ind w:left="360"/>
        <w:jc w:val="both"/>
        <w:rPr>
          <w:sz w:val="14"/>
          <w:szCs w:val="14"/>
        </w:rPr>
      </w:pPr>
      <w:r w:rsidRPr="00FA0DE6">
        <w:rPr>
          <w:sz w:val="14"/>
          <w:szCs w:val="14"/>
        </w:rPr>
        <w:t xml:space="preserve">                  gelagert werden.</w:t>
      </w:r>
    </w:p>
    <w:p w:rsidR="007A1D85" w:rsidRPr="00FA0DE6" w:rsidRDefault="007A1D85" w:rsidP="00FA0DE6">
      <w:pPr>
        <w:tabs>
          <w:tab w:val="left" w:pos="2200"/>
        </w:tabs>
        <w:spacing w:after="0"/>
        <w:ind w:left="360"/>
        <w:jc w:val="both"/>
        <w:rPr>
          <w:sz w:val="14"/>
          <w:szCs w:val="14"/>
        </w:rPr>
      </w:pPr>
      <w:r w:rsidRPr="00FA0DE6">
        <w:rPr>
          <w:sz w:val="14"/>
          <w:szCs w:val="14"/>
        </w:rPr>
        <w:t>Unzulässig ist es:</w:t>
      </w:r>
    </w:p>
    <w:p w:rsidR="007A1D85" w:rsidRPr="00FA0DE6" w:rsidRDefault="007A1D85" w:rsidP="00FA0DE6">
      <w:pPr>
        <w:pStyle w:val="Listenabsatz"/>
        <w:numPr>
          <w:ilvl w:val="0"/>
          <w:numId w:val="19"/>
        </w:numPr>
        <w:tabs>
          <w:tab w:val="left" w:pos="2200"/>
        </w:tabs>
        <w:spacing w:after="0"/>
        <w:jc w:val="both"/>
        <w:rPr>
          <w:sz w:val="14"/>
          <w:szCs w:val="14"/>
        </w:rPr>
      </w:pPr>
      <w:r w:rsidRPr="00FA0DE6">
        <w:rPr>
          <w:sz w:val="14"/>
          <w:szCs w:val="14"/>
        </w:rPr>
        <w:t>Das Merkblatt „Betriebs- und Verhaltensvorschriften für den Umgang mit wassergefährdenden Stoffen“ nicht sichtbar aufzuhängen.</w:t>
      </w:r>
    </w:p>
    <w:p w:rsidR="007A1D85" w:rsidRPr="00FA0DE6" w:rsidRDefault="007A1D85" w:rsidP="00FA0DE6">
      <w:pPr>
        <w:pStyle w:val="Listenabsatz"/>
        <w:numPr>
          <w:ilvl w:val="0"/>
          <w:numId w:val="19"/>
        </w:numPr>
        <w:tabs>
          <w:tab w:val="left" w:pos="2200"/>
        </w:tabs>
        <w:spacing w:after="0"/>
        <w:jc w:val="both"/>
        <w:rPr>
          <w:sz w:val="14"/>
          <w:szCs w:val="14"/>
        </w:rPr>
      </w:pPr>
      <w:r w:rsidRPr="00FA0DE6">
        <w:rPr>
          <w:sz w:val="14"/>
          <w:szCs w:val="14"/>
        </w:rPr>
        <w:t>Ausgelaufene wassergefährdende Stoffe nicht umgehend aufzunehmen und ordnungsgemäß zu entsorgen.</w:t>
      </w:r>
    </w:p>
    <w:p w:rsidR="007A1D85" w:rsidRPr="00FA0DE6" w:rsidRDefault="007A1D85" w:rsidP="00FA0DE6">
      <w:pPr>
        <w:pStyle w:val="Listenabsatz"/>
        <w:numPr>
          <w:ilvl w:val="0"/>
          <w:numId w:val="19"/>
        </w:numPr>
        <w:tabs>
          <w:tab w:val="left" w:pos="2200"/>
        </w:tabs>
        <w:spacing w:after="0"/>
        <w:jc w:val="both"/>
        <w:rPr>
          <w:sz w:val="14"/>
          <w:szCs w:val="14"/>
        </w:rPr>
      </w:pPr>
      <w:r w:rsidRPr="00FA0DE6">
        <w:rPr>
          <w:sz w:val="14"/>
          <w:szCs w:val="14"/>
        </w:rPr>
        <w:t>Nicht oder nur unwesentlich qualifiziertes Personal mit Ein- und Auslagerungen sowie Ab- und Umfüllarbeiten zu beauftragen.</w:t>
      </w:r>
    </w:p>
    <w:p w:rsidR="007A1D85" w:rsidRPr="00FA0DE6" w:rsidRDefault="007A1D85" w:rsidP="00FA0DE6">
      <w:pPr>
        <w:pStyle w:val="Listenabsatz"/>
        <w:numPr>
          <w:ilvl w:val="0"/>
          <w:numId w:val="19"/>
        </w:numPr>
        <w:tabs>
          <w:tab w:val="left" w:pos="2200"/>
        </w:tabs>
        <w:spacing w:after="0"/>
        <w:jc w:val="both"/>
        <w:rPr>
          <w:sz w:val="14"/>
          <w:szCs w:val="14"/>
        </w:rPr>
      </w:pPr>
      <w:r w:rsidRPr="00FA0DE6">
        <w:rPr>
          <w:sz w:val="14"/>
          <w:szCs w:val="14"/>
        </w:rPr>
        <w:t>Korrosionsschäden an der Auffangwanne nicht zu beheben.</w:t>
      </w:r>
    </w:p>
    <w:p w:rsidR="007A1D85" w:rsidRPr="00FA0DE6" w:rsidRDefault="007A1D85" w:rsidP="00FA0DE6">
      <w:pPr>
        <w:pStyle w:val="Listenabsatz"/>
        <w:numPr>
          <w:ilvl w:val="0"/>
          <w:numId w:val="19"/>
        </w:numPr>
        <w:tabs>
          <w:tab w:val="left" w:pos="2200"/>
        </w:tabs>
        <w:spacing w:after="0"/>
        <w:jc w:val="both"/>
        <w:rPr>
          <w:sz w:val="14"/>
          <w:szCs w:val="14"/>
        </w:rPr>
      </w:pPr>
      <w:r w:rsidRPr="00FA0DE6">
        <w:rPr>
          <w:sz w:val="14"/>
          <w:szCs w:val="14"/>
        </w:rPr>
        <w:t>Schäden, welche die Funktionsfähigkeit der Auffangvorrichtung wesentlich beeinträchtigen, nicht durch Fachbetriebe nach WHG oder den Hersteller beheben zu lassen.</w:t>
      </w:r>
    </w:p>
    <w:p w:rsidR="007A1D85" w:rsidRPr="00FA0DE6" w:rsidRDefault="007A1D85" w:rsidP="00FA0DE6">
      <w:pPr>
        <w:pStyle w:val="Listenabsatz"/>
        <w:numPr>
          <w:ilvl w:val="0"/>
          <w:numId w:val="19"/>
        </w:numPr>
        <w:tabs>
          <w:tab w:val="left" w:pos="2200"/>
        </w:tabs>
        <w:spacing w:after="0"/>
        <w:jc w:val="both"/>
        <w:rPr>
          <w:sz w:val="14"/>
          <w:szCs w:val="14"/>
        </w:rPr>
      </w:pPr>
      <w:r w:rsidRPr="00FA0DE6">
        <w:rPr>
          <w:sz w:val="14"/>
          <w:szCs w:val="14"/>
        </w:rPr>
        <w:t>Vorgeschriebene arbeitstägliche Sichtprüfung nicht vorzunehmen und die alle zwei Jahre vorzunehmende Inaugenscheinnahme der Auffangvorrichtung mit Protokollierung des Ergebnisses zu unterlassen.</w:t>
      </w:r>
    </w:p>
    <w:p w:rsidR="007A1D85" w:rsidRPr="00FA0DE6" w:rsidRDefault="007A1D85" w:rsidP="00FA0DE6">
      <w:pPr>
        <w:tabs>
          <w:tab w:val="left" w:pos="2200"/>
        </w:tabs>
        <w:spacing w:after="0"/>
        <w:jc w:val="both"/>
        <w:rPr>
          <w:sz w:val="14"/>
          <w:szCs w:val="14"/>
        </w:rPr>
      </w:pPr>
    </w:p>
    <w:p w:rsidR="007A1D85" w:rsidRPr="00FA0DE6" w:rsidRDefault="007A1D85" w:rsidP="00FA0DE6">
      <w:pPr>
        <w:pStyle w:val="Listenabsatz"/>
        <w:numPr>
          <w:ilvl w:val="0"/>
          <w:numId w:val="5"/>
        </w:numPr>
        <w:tabs>
          <w:tab w:val="left" w:pos="2200"/>
        </w:tabs>
        <w:spacing w:after="0"/>
        <w:jc w:val="both"/>
        <w:rPr>
          <w:b/>
          <w:sz w:val="14"/>
          <w:szCs w:val="14"/>
        </w:rPr>
      </w:pPr>
      <w:r w:rsidRPr="00FA0DE6">
        <w:rPr>
          <w:b/>
          <w:sz w:val="14"/>
          <w:szCs w:val="14"/>
        </w:rPr>
        <w:t>Prüfungen</w:t>
      </w:r>
    </w:p>
    <w:p w:rsidR="007A1D85" w:rsidRPr="00FA0DE6" w:rsidRDefault="007A1D85" w:rsidP="00FA0DE6">
      <w:pPr>
        <w:tabs>
          <w:tab w:val="left" w:pos="2200"/>
        </w:tabs>
        <w:spacing w:after="0"/>
        <w:ind w:left="360"/>
        <w:jc w:val="both"/>
        <w:rPr>
          <w:sz w:val="14"/>
          <w:szCs w:val="14"/>
        </w:rPr>
      </w:pPr>
      <w:r w:rsidRPr="00FA0DE6">
        <w:rPr>
          <w:sz w:val="14"/>
          <w:szCs w:val="14"/>
        </w:rPr>
        <w:t xml:space="preserve">Der Betreiber hat die Auffangvorrichtungen einer arbeitstäglichen Sichtprüfung zu unterziehen, ob wassergefährdende Stoffe ausgelaufen sind. Ausgelaufene Stoffe sind umgehend aufzunehmen und ordnungsgemäß zu entsorgen. Der Zustand der Auffangvorrichtung muss alle zwei Jahre –auch die Unterseite, sofern die Bauart es zulässt- </w:t>
      </w:r>
      <w:r w:rsidR="00FA0DE6" w:rsidRPr="00FA0DE6">
        <w:rPr>
          <w:sz w:val="14"/>
          <w:szCs w:val="14"/>
        </w:rPr>
        <w:t>durch Inaugenscheinnahme auf Schäden kontrolliert werden. Die Ergebnisse sind zu protokollieren und der zuständigen Behörde auf Verlangen vorzulegen. Schäden an dem Oberflächenschutz der Auffangvorrichtung sind umgehend zu beheben.</w:t>
      </w:r>
    </w:p>
    <w:p w:rsidR="00FA0DE6" w:rsidRPr="00FA0DE6" w:rsidRDefault="00FA0DE6" w:rsidP="00FA0DE6">
      <w:pPr>
        <w:tabs>
          <w:tab w:val="left" w:pos="2200"/>
        </w:tabs>
        <w:spacing w:after="0"/>
        <w:ind w:left="360"/>
        <w:jc w:val="both"/>
        <w:rPr>
          <w:sz w:val="14"/>
          <w:szCs w:val="14"/>
        </w:rPr>
      </w:pPr>
    </w:p>
    <w:p w:rsidR="00FA0DE6" w:rsidRPr="00FA0DE6" w:rsidRDefault="00FA0DE6" w:rsidP="00FA0DE6">
      <w:pPr>
        <w:pStyle w:val="Listenabsatz"/>
        <w:numPr>
          <w:ilvl w:val="0"/>
          <w:numId w:val="5"/>
        </w:numPr>
        <w:tabs>
          <w:tab w:val="left" w:pos="2200"/>
        </w:tabs>
        <w:spacing w:after="0"/>
        <w:jc w:val="both"/>
        <w:rPr>
          <w:b/>
          <w:sz w:val="14"/>
          <w:szCs w:val="14"/>
        </w:rPr>
      </w:pPr>
      <w:r w:rsidRPr="00FA0DE6">
        <w:rPr>
          <w:b/>
          <w:sz w:val="14"/>
          <w:szCs w:val="14"/>
        </w:rPr>
        <w:t>Instandsetzungen</w:t>
      </w:r>
    </w:p>
    <w:p w:rsidR="00FA0DE6" w:rsidRPr="00FA0DE6" w:rsidRDefault="00FA0DE6" w:rsidP="00FA0DE6">
      <w:pPr>
        <w:tabs>
          <w:tab w:val="left" w:pos="2200"/>
        </w:tabs>
        <w:spacing w:after="0"/>
        <w:ind w:left="360"/>
        <w:jc w:val="both"/>
        <w:rPr>
          <w:sz w:val="14"/>
          <w:szCs w:val="14"/>
        </w:rPr>
      </w:pPr>
      <w:r w:rsidRPr="00FA0DE6">
        <w:rPr>
          <w:sz w:val="14"/>
          <w:szCs w:val="14"/>
        </w:rPr>
        <w:t>Ist die Funktionsfähigkeit der Auffangvorrichtung durch eine Beschädigung beeinträchtigt, muss der Schaden durch den Hersteller oder durch einen nach WHG zugelassenen Fachbetrieb behoben werden – einschließlich der Dichtigkeitsprüfung.</w:t>
      </w:r>
    </w:p>
    <w:p w:rsidR="00FA0DE6" w:rsidRPr="00FA0DE6" w:rsidRDefault="00FA0DE6" w:rsidP="00FA0DE6">
      <w:pPr>
        <w:tabs>
          <w:tab w:val="left" w:pos="2200"/>
        </w:tabs>
        <w:spacing w:after="0"/>
        <w:ind w:left="360"/>
        <w:jc w:val="both"/>
        <w:rPr>
          <w:sz w:val="14"/>
          <w:szCs w:val="14"/>
        </w:rPr>
      </w:pPr>
    </w:p>
    <w:p w:rsidR="00FA0DE6" w:rsidRPr="00FA0DE6" w:rsidRDefault="00FA0DE6" w:rsidP="00FA0DE6">
      <w:pPr>
        <w:tabs>
          <w:tab w:val="left" w:pos="2200"/>
        </w:tabs>
        <w:spacing w:after="0"/>
        <w:ind w:left="360"/>
        <w:jc w:val="both"/>
        <w:rPr>
          <w:sz w:val="14"/>
          <w:szCs w:val="14"/>
        </w:rPr>
      </w:pPr>
    </w:p>
    <w:p w:rsidR="00FA0DE6" w:rsidRPr="00FA0DE6" w:rsidRDefault="00FA0DE6" w:rsidP="00FA0DE6">
      <w:pPr>
        <w:tabs>
          <w:tab w:val="left" w:pos="2200"/>
        </w:tabs>
        <w:spacing w:after="0"/>
        <w:ind w:left="360"/>
        <w:jc w:val="both"/>
        <w:rPr>
          <w:sz w:val="14"/>
          <w:szCs w:val="14"/>
        </w:rPr>
      </w:pPr>
    </w:p>
    <w:p w:rsidR="00FA0DE6" w:rsidRDefault="00FA0DE6" w:rsidP="00FA0DE6">
      <w:pPr>
        <w:tabs>
          <w:tab w:val="left" w:pos="2200"/>
        </w:tabs>
        <w:spacing w:after="0"/>
        <w:ind w:left="360"/>
        <w:jc w:val="both"/>
        <w:rPr>
          <w:sz w:val="14"/>
          <w:szCs w:val="14"/>
        </w:rPr>
      </w:pPr>
    </w:p>
    <w:p w:rsidR="00FA0DE6" w:rsidRDefault="00FA0DE6" w:rsidP="00FA0DE6">
      <w:pPr>
        <w:tabs>
          <w:tab w:val="left" w:pos="2200"/>
        </w:tabs>
        <w:spacing w:after="0"/>
        <w:ind w:left="360"/>
        <w:jc w:val="both"/>
        <w:rPr>
          <w:sz w:val="14"/>
          <w:szCs w:val="14"/>
        </w:rPr>
      </w:pPr>
    </w:p>
    <w:p w:rsidR="00FA0DE6" w:rsidRDefault="00FA0DE6" w:rsidP="00FA0DE6">
      <w:pPr>
        <w:tabs>
          <w:tab w:val="left" w:pos="2200"/>
        </w:tabs>
        <w:spacing w:after="0"/>
        <w:ind w:left="360"/>
        <w:jc w:val="both"/>
        <w:rPr>
          <w:sz w:val="14"/>
          <w:szCs w:val="14"/>
        </w:rPr>
      </w:pPr>
    </w:p>
    <w:p w:rsidR="00FA0DE6" w:rsidRDefault="00FA0DE6" w:rsidP="00FA0DE6">
      <w:pPr>
        <w:tabs>
          <w:tab w:val="left" w:pos="2200"/>
        </w:tabs>
        <w:spacing w:after="0"/>
        <w:ind w:left="360"/>
        <w:jc w:val="both"/>
        <w:rPr>
          <w:sz w:val="14"/>
          <w:szCs w:val="14"/>
        </w:rPr>
      </w:pPr>
    </w:p>
    <w:p w:rsidR="00FA0DE6" w:rsidRDefault="00FA0DE6" w:rsidP="00FA0DE6">
      <w:pPr>
        <w:tabs>
          <w:tab w:val="left" w:pos="2200"/>
        </w:tabs>
        <w:spacing w:after="0"/>
        <w:ind w:left="360"/>
        <w:jc w:val="both"/>
        <w:rPr>
          <w:sz w:val="14"/>
          <w:szCs w:val="14"/>
        </w:rPr>
      </w:pPr>
    </w:p>
    <w:p w:rsidR="00FA0DE6" w:rsidRPr="00FA0DE6" w:rsidRDefault="00FA0DE6" w:rsidP="000409F4">
      <w:pPr>
        <w:tabs>
          <w:tab w:val="left" w:pos="2200"/>
        </w:tabs>
        <w:spacing w:after="0"/>
        <w:jc w:val="both"/>
        <w:rPr>
          <w:sz w:val="14"/>
          <w:szCs w:val="14"/>
        </w:rPr>
      </w:pPr>
    </w:p>
    <w:p w:rsidR="0028673B" w:rsidRPr="00FA0DE6" w:rsidRDefault="00FA0DE6" w:rsidP="00FA0DE6">
      <w:pPr>
        <w:tabs>
          <w:tab w:val="left" w:pos="2200"/>
        </w:tabs>
        <w:spacing w:after="0"/>
        <w:ind w:left="360"/>
        <w:jc w:val="both"/>
        <w:rPr>
          <w:sz w:val="10"/>
          <w:szCs w:val="10"/>
        </w:rPr>
      </w:pPr>
      <w:r w:rsidRPr="00FA0DE6">
        <w:rPr>
          <w:sz w:val="10"/>
          <w:szCs w:val="10"/>
        </w:rPr>
        <w:t>Alle Rechte, insbesondere das Recht der Vervielfältigung und Verbreitung, vorbehalten. Kein Teil des Werkes darf in irgendeiner Form (durch Fotokopie, Mikrofilm oder ein anderes Verfahren) ohne schriftliche Genehmigung des Verfassers produziert oder unter Verwendung elektronischer Systeme gespeichert, verarbeitet, vervielfältigt oder bearbeitet werden.</w:t>
      </w:r>
    </w:p>
    <w:sectPr w:rsidR="0028673B" w:rsidRPr="00FA0DE6" w:rsidSect="00F83D1E">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9AF"/>
    <w:multiLevelType w:val="hybridMultilevel"/>
    <w:tmpl w:val="237492A4"/>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
    <w:nsid w:val="0CD922FD"/>
    <w:multiLevelType w:val="hybridMultilevel"/>
    <w:tmpl w:val="1A8AA9DE"/>
    <w:lvl w:ilvl="0" w:tplc="04070001">
      <w:start w:val="1"/>
      <w:numFmt w:val="bullet"/>
      <w:lvlText w:val=""/>
      <w:lvlJc w:val="left"/>
      <w:pPr>
        <w:ind w:left="1410" w:hanging="360"/>
      </w:pPr>
      <w:rPr>
        <w:rFonts w:ascii="Symbol" w:hAnsi="Symbol" w:hint="default"/>
      </w:rPr>
    </w:lvl>
    <w:lvl w:ilvl="1" w:tplc="04070003" w:tentative="1">
      <w:start w:val="1"/>
      <w:numFmt w:val="bullet"/>
      <w:lvlText w:val="o"/>
      <w:lvlJc w:val="left"/>
      <w:pPr>
        <w:ind w:left="2130" w:hanging="360"/>
      </w:pPr>
      <w:rPr>
        <w:rFonts w:ascii="Courier New" w:hAnsi="Courier New" w:cs="Courier New" w:hint="default"/>
      </w:rPr>
    </w:lvl>
    <w:lvl w:ilvl="2" w:tplc="04070005" w:tentative="1">
      <w:start w:val="1"/>
      <w:numFmt w:val="bullet"/>
      <w:lvlText w:val=""/>
      <w:lvlJc w:val="left"/>
      <w:pPr>
        <w:ind w:left="2850" w:hanging="360"/>
      </w:pPr>
      <w:rPr>
        <w:rFonts w:ascii="Wingdings" w:hAnsi="Wingdings" w:hint="default"/>
      </w:rPr>
    </w:lvl>
    <w:lvl w:ilvl="3" w:tplc="04070001" w:tentative="1">
      <w:start w:val="1"/>
      <w:numFmt w:val="bullet"/>
      <w:lvlText w:val=""/>
      <w:lvlJc w:val="left"/>
      <w:pPr>
        <w:ind w:left="3570" w:hanging="360"/>
      </w:pPr>
      <w:rPr>
        <w:rFonts w:ascii="Symbol" w:hAnsi="Symbol" w:hint="default"/>
      </w:rPr>
    </w:lvl>
    <w:lvl w:ilvl="4" w:tplc="04070003" w:tentative="1">
      <w:start w:val="1"/>
      <w:numFmt w:val="bullet"/>
      <w:lvlText w:val="o"/>
      <w:lvlJc w:val="left"/>
      <w:pPr>
        <w:ind w:left="4290" w:hanging="360"/>
      </w:pPr>
      <w:rPr>
        <w:rFonts w:ascii="Courier New" w:hAnsi="Courier New" w:cs="Courier New" w:hint="default"/>
      </w:rPr>
    </w:lvl>
    <w:lvl w:ilvl="5" w:tplc="04070005" w:tentative="1">
      <w:start w:val="1"/>
      <w:numFmt w:val="bullet"/>
      <w:lvlText w:val=""/>
      <w:lvlJc w:val="left"/>
      <w:pPr>
        <w:ind w:left="5010" w:hanging="360"/>
      </w:pPr>
      <w:rPr>
        <w:rFonts w:ascii="Wingdings" w:hAnsi="Wingdings" w:hint="default"/>
      </w:rPr>
    </w:lvl>
    <w:lvl w:ilvl="6" w:tplc="04070001" w:tentative="1">
      <w:start w:val="1"/>
      <w:numFmt w:val="bullet"/>
      <w:lvlText w:val=""/>
      <w:lvlJc w:val="left"/>
      <w:pPr>
        <w:ind w:left="5730" w:hanging="360"/>
      </w:pPr>
      <w:rPr>
        <w:rFonts w:ascii="Symbol" w:hAnsi="Symbol" w:hint="default"/>
      </w:rPr>
    </w:lvl>
    <w:lvl w:ilvl="7" w:tplc="04070003" w:tentative="1">
      <w:start w:val="1"/>
      <w:numFmt w:val="bullet"/>
      <w:lvlText w:val="o"/>
      <w:lvlJc w:val="left"/>
      <w:pPr>
        <w:ind w:left="6450" w:hanging="360"/>
      </w:pPr>
      <w:rPr>
        <w:rFonts w:ascii="Courier New" w:hAnsi="Courier New" w:cs="Courier New" w:hint="default"/>
      </w:rPr>
    </w:lvl>
    <w:lvl w:ilvl="8" w:tplc="04070005" w:tentative="1">
      <w:start w:val="1"/>
      <w:numFmt w:val="bullet"/>
      <w:lvlText w:val=""/>
      <w:lvlJc w:val="left"/>
      <w:pPr>
        <w:ind w:left="7170" w:hanging="360"/>
      </w:pPr>
      <w:rPr>
        <w:rFonts w:ascii="Wingdings" w:hAnsi="Wingdings" w:hint="default"/>
      </w:rPr>
    </w:lvl>
  </w:abstractNum>
  <w:abstractNum w:abstractNumId="2">
    <w:nsid w:val="1AF90A54"/>
    <w:multiLevelType w:val="hybridMultilevel"/>
    <w:tmpl w:val="C1F2DF14"/>
    <w:lvl w:ilvl="0" w:tplc="04070001">
      <w:start w:val="1"/>
      <w:numFmt w:val="bullet"/>
      <w:lvlText w:val=""/>
      <w:lvlJc w:val="left"/>
      <w:pPr>
        <w:ind w:left="1480" w:hanging="360"/>
      </w:pPr>
      <w:rPr>
        <w:rFonts w:ascii="Symbol" w:hAnsi="Symbol" w:hint="default"/>
      </w:rPr>
    </w:lvl>
    <w:lvl w:ilvl="1" w:tplc="04070003" w:tentative="1">
      <w:start w:val="1"/>
      <w:numFmt w:val="bullet"/>
      <w:lvlText w:val="o"/>
      <w:lvlJc w:val="left"/>
      <w:pPr>
        <w:ind w:left="2200" w:hanging="360"/>
      </w:pPr>
      <w:rPr>
        <w:rFonts w:ascii="Courier New" w:hAnsi="Courier New" w:cs="Courier New" w:hint="default"/>
      </w:rPr>
    </w:lvl>
    <w:lvl w:ilvl="2" w:tplc="04070005" w:tentative="1">
      <w:start w:val="1"/>
      <w:numFmt w:val="bullet"/>
      <w:lvlText w:val=""/>
      <w:lvlJc w:val="left"/>
      <w:pPr>
        <w:ind w:left="2920" w:hanging="360"/>
      </w:pPr>
      <w:rPr>
        <w:rFonts w:ascii="Wingdings" w:hAnsi="Wingdings" w:hint="default"/>
      </w:rPr>
    </w:lvl>
    <w:lvl w:ilvl="3" w:tplc="04070001" w:tentative="1">
      <w:start w:val="1"/>
      <w:numFmt w:val="bullet"/>
      <w:lvlText w:val=""/>
      <w:lvlJc w:val="left"/>
      <w:pPr>
        <w:ind w:left="3640" w:hanging="360"/>
      </w:pPr>
      <w:rPr>
        <w:rFonts w:ascii="Symbol" w:hAnsi="Symbol" w:hint="default"/>
      </w:rPr>
    </w:lvl>
    <w:lvl w:ilvl="4" w:tplc="04070003" w:tentative="1">
      <w:start w:val="1"/>
      <w:numFmt w:val="bullet"/>
      <w:lvlText w:val="o"/>
      <w:lvlJc w:val="left"/>
      <w:pPr>
        <w:ind w:left="4360" w:hanging="360"/>
      </w:pPr>
      <w:rPr>
        <w:rFonts w:ascii="Courier New" w:hAnsi="Courier New" w:cs="Courier New" w:hint="default"/>
      </w:rPr>
    </w:lvl>
    <w:lvl w:ilvl="5" w:tplc="04070005" w:tentative="1">
      <w:start w:val="1"/>
      <w:numFmt w:val="bullet"/>
      <w:lvlText w:val=""/>
      <w:lvlJc w:val="left"/>
      <w:pPr>
        <w:ind w:left="5080" w:hanging="360"/>
      </w:pPr>
      <w:rPr>
        <w:rFonts w:ascii="Wingdings" w:hAnsi="Wingdings" w:hint="default"/>
      </w:rPr>
    </w:lvl>
    <w:lvl w:ilvl="6" w:tplc="04070001" w:tentative="1">
      <w:start w:val="1"/>
      <w:numFmt w:val="bullet"/>
      <w:lvlText w:val=""/>
      <w:lvlJc w:val="left"/>
      <w:pPr>
        <w:ind w:left="5800" w:hanging="360"/>
      </w:pPr>
      <w:rPr>
        <w:rFonts w:ascii="Symbol" w:hAnsi="Symbol" w:hint="default"/>
      </w:rPr>
    </w:lvl>
    <w:lvl w:ilvl="7" w:tplc="04070003" w:tentative="1">
      <w:start w:val="1"/>
      <w:numFmt w:val="bullet"/>
      <w:lvlText w:val="o"/>
      <w:lvlJc w:val="left"/>
      <w:pPr>
        <w:ind w:left="6520" w:hanging="360"/>
      </w:pPr>
      <w:rPr>
        <w:rFonts w:ascii="Courier New" w:hAnsi="Courier New" w:cs="Courier New" w:hint="default"/>
      </w:rPr>
    </w:lvl>
    <w:lvl w:ilvl="8" w:tplc="04070005" w:tentative="1">
      <w:start w:val="1"/>
      <w:numFmt w:val="bullet"/>
      <w:lvlText w:val=""/>
      <w:lvlJc w:val="left"/>
      <w:pPr>
        <w:ind w:left="7240" w:hanging="360"/>
      </w:pPr>
      <w:rPr>
        <w:rFonts w:ascii="Wingdings" w:hAnsi="Wingdings" w:hint="default"/>
      </w:rPr>
    </w:lvl>
  </w:abstractNum>
  <w:abstractNum w:abstractNumId="3">
    <w:nsid w:val="1D3D73B0"/>
    <w:multiLevelType w:val="hybridMultilevel"/>
    <w:tmpl w:val="E4D2D744"/>
    <w:lvl w:ilvl="0" w:tplc="04070001">
      <w:start w:val="1"/>
      <w:numFmt w:val="bullet"/>
      <w:lvlText w:val=""/>
      <w:lvlJc w:val="left"/>
      <w:pPr>
        <w:ind w:left="920" w:hanging="360"/>
      </w:pPr>
      <w:rPr>
        <w:rFonts w:ascii="Symbol" w:hAnsi="Symbol" w:hint="default"/>
      </w:r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4">
    <w:nsid w:val="1E9D305A"/>
    <w:multiLevelType w:val="hybridMultilevel"/>
    <w:tmpl w:val="DC6EE4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4F339E"/>
    <w:multiLevelType w:val="hybridMultilevel"/>
    <w:tmpl w:val="555882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1840D4"/>
    <w:multiLevelType w:val="hybridMultilevel"/>
    <w:tmpl w:val="7B9C96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B0178B9"/>
    <w:multiLevelType w:val="hybridMultilevel"/>
    <w:tmpl w:val="F12A63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F21072C"/>
    <w:multiLevelType w:val="hybridMultilevel"/>
    <w:tmpl w:val="B9661E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46212BA7"/>
    <w:multiLevelType w:val="hybridMultilevel"/>
    <w:tmpl w:val="9DAA162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54395D58"/>
    <w:multiLevelType w:val="hybridMultilevel"/>
    <w:tmpl w:val="8B362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E1F0977"/>
    <w:multiLevelType w:val="hybridMultilevel"/>
    <w:tmpl w:val="882EC33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nsid w:val="63784610"/>
    <w:multiLevelType w:val="hybridMultilevel"/>
    <w:tmpl w:val="4500630C"/>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13">
    <w:nsid w:val="6DAD5C3A"/>
    <w:multiLevelType w:val="hybridMultilevel"/>
    <w:tmpl w:val="CA8029A6"/>
    <w:lvl w:ilvl="0" w:tplc="04070001">
      <w:start w:val="1"/>
      <w:numFmt w:val="bullet"/>
      <w:lvlText w:val=""/>
      <w:lvlJc w:val="left"/>
      <w:pPr>
        <w:ind w:left="1090" w:hanging="360"/>
      </w:pPr>
      <w:rPr>
        <w:rFonts w:ascii="Symbol" w:hAnsi="Symbol" w:hint="default"/>
      </w:rPr>
    </w:lvl>
    <w:lvl w:ilvl="1" w:tplc="04070003" w:tentative="1">
      <w:start w:val="1"/>
      <w:numFmt w:val="bullet"/>
      <w:lvlText w:val="o"/>
      <w:lvlJc w:val="left"/>
      <w:pPr>
        <w:ind w:left="1810" w:hanging="360"/>
      </w:pPr>
      <w:rPr>
        <w:rFonts w:ascii="Courier New" w:hAnsi="Courier New" w:cs="Courier New" w:hint="default"/>
      </w:rPr>
    </w:lvl>
    <w:lvl w:ilvl="2" w:tplc="04070005" w:tentative="1">
      <w:start w:val="1"/>
      <w:numFmt w:val="bullet"/>
      <w:lvlText w:val=""/>
      <w:lvlJc w:val="left"/>
      <w:pPr>
        <w:ind w:left="2530" w:hanging="360"/>
      </w:pPr>
      <w:rPr>
        <w:rFonts w:ascii="Wingdings" w:hAnsi="Wingdings" w:hint="default"/>
      </w:rPr>
    </w:lvl>
    <w:lvl w:ilvl="3" w:tplc="04070001" w:tentative="1">
      <w:start w:val="1"/>
      <w:numFmt w:val="bullet"/>
      <w:lvlText w:val=""/>
      <w:lvlJc w:val="left"/>
      <w:pPr>
        <w:ind w:left="3250" w:hanging="360"/>
      </w:pPr>
      <w:rPr>
        <w:rFonts w:ascii="Symbol" w:hAnsi="Symbol" w:hint="default"/>
      </w:rPr>
    </w:lvl>
    <w:lvl w:ilvl="4" w:tplc="04070003" w:tentative="1">
      <w:start w:val="1"/>
      <w:numFmt w:val="bullet"/>
      <w:lvlText w:val="o"/>
      <w:lvlJc w:val="left"/>
      <w:pPr>
        <w:ind w:left="3970" w:hanging="360"/>
      </w:pPr>
      <w:rPr>
        <w:rFonts w:ascii="Courier New" w:hAnsi="Courier New" w:cs="Courier New" w:hint="default"/>
      </w:rPr>
    </w:lvl>
    <w:lvl w:ilvl="5" w:tplc="04070005" w:tentative="1">
      <w:start w:val="1"/>
      <w:numFmt w:val="bullet"/>
      <w:lvlText w:val=""/>
      <w:lvlJc w:val="left"/>
      <w:pPr>
        <w:ind w:left="4690" w:hanging="360"/>
      </w:pPr>
      <w:rPr>
        <w:rFonts w:ascii="Wingdings" w:hAnsi="Wingdings" w:hint="default"/>
      </w:rPr>
    </w:lvl>
    <w:lvl w:ilvl="6" w:tplc="04070001" w:tentative="1">
      <w:start w:val="1"/>
      <w:numFmt w:val="bullet"/>
      <w:lvlText w:val=""/>
      <w:lvlJc w:val="left"/>
      <w:pPr>
        <w:ind w:left="5410" w:hanging="360"/>
      </w:pPr>
      <w:rPr>
        <w:rFonts w:ascii="Symbol" w:hAnsi="Symbol" w:hint="default"/>
      </w:rPr>
    </w:lvl>
    <w:lvl w:ilvl="7" w:tplc="04070003" w:tentative="1">
      <w:start w:val="1"/>
      <w:numFmt w:val="bullet"/>
      <w:lvlText w:val="o"/>
      <w:lvlJc w:val="left"/>
      <w:pPr>
        <w:ind w:left="6130" w:hanging="360"/>
      </w:pPr>
      <w:rPr>
        <w:rFonts w:ascii="Courier New" w:hAnsi="Courier New" w:cs="Courier New" w:hint="default"/>
      </w:rPr>
    </w:lvl>
    <w:lvl w:ilvl="8" w:tplc="04070005" w:tentative="1">
      <w:start w:val="1"/>
      <w:numFmt w:val="bullet"/>
      <w:lvlText w:val=""/>
      <w:lvlJc w:val="left"/>
      <w:pPr>
        <w:ind w:left="6850" w:hanging="360"/>
      </w:pPr>
      <w:rPr>
        <w:rFonts w:ascii="Wingdings" w:hAnsi="Wingdings" w:hint="default"/>
      </w:rPr>
    </w:lvl>
  </w:abstractNum>
  <w:abstractNum w:abstractNumId="14">
    <w:nsid w:val="70F07F60"/>
    <w:multiLevelType w:val="hybridMultilevel"/>
    <w:tmpl w:val="780840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1FD4594"/>
    <w:multiLevelType w:val="hybridMultilevel"/>
    <w:tmpl w:val="9B347E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76446EB6"/>
    <w:multiLevelType w:val="hybridMultilevel"/>
    <w:tmpl w:val="32205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C82699E"/>
    <w:multiLevelType w:val="hybridMultilevel"/>
    <w:tmpl w:val="32822188"/>
    <w:lvl w:ilvl="0" w:tplc="04070001">
      <w:start w:val="1"/>
      <w:numFmt w:val="bullet"/>
      <w:lvlText w:val=""/>
      <w:lvlJc w:val="left"/>
      <w:pPr>
        <w:ind w:left="2920" w:hanging="360"/>
      </w:pPr>
      <w:rPr>
        <w:rFonts w:ascii="Symbol" w:hAnsi="Symbol" w:hint="default"/>
      </w:rPr>
    </w:lvl>
    <w:lvl w:ilvl="1" w:tplc="04070003" w:tentative="1">
      <w:start w:val="1"/>
      <w:numFmt w:val="bullet"/>
      <w:lvlText w:val="o"/>
      <w:lvlJc w:val="left"/>
      <w:pPr>
        <w:ind w:left="3640" w:hanging="360"/>
      </w:pPr>
      <w:rPr>
        <w:rFonts w:ascii="Courier New" w:hAnsi="Courier New" w:cs="Courier New" w:hint="default"/>
      </w:rPr>
    </w:lvl>
    <w:lvl w:ilvl="2" w:tplc="04070005" w:tentative="1">
      <w:start w:val="1"/>
      <w:numFmt w:val="bullet"/>
      <w:lvlText w:val=""/>
      <w:lvlJc w:val="left"/>
      <w:pPr>
        <w:ind w:left="4360" w:hanging="360"/>
      </w:pPr>
      <w:rPr>
        <w:rFonts w:ascii="Wingdings" w:hAnsi="Wingdings" w:hint="default"/>
      </w:rPr>
    </w:lvl>
    <w:lvl w:ilvl="3" w:tplc="04070001" w:tentative="1">
      <w:start w:val="1"/>
      <w:numFmt w:val="bullet"/>
      <w:lvlText w:val=""/>
      <w:lvlJc w:val="left"/>
      <w:pPr>
        <w:ind w:left="5080" w:hanging="360"/>
      </w:pPr>
      <w:rPr>
        <w:rFonts w:ascii="Symbol" w:hAnsi="Symbol" w:hint="default"/>
      </w:rPr>
    </w:lvl>
    <w:lvl w:ilvl="4" w:tplc="04070003" w:tentative="1">
      <w:start w:val="1"/>
      <w:numFmt w:val="bullet"/>
      <w:lvlText w:val="o"/>
      <w:lvlJc w:val="left"/>
      <w:pPr>
        <w:ind w:left="5800" w:hanging="360"/>
      </w:pPr>
      <w:rPr>
        <w:rFonts w:ascii="Courier New" w:hAnsi="Courier New" w:cs="Courier New" w:hint="default"/>
      </w:rPr>
    </w:lvl>
    <w:lvl w:ilvl="5" w:tplc="04070005" w:tentative="1">
      <w:start w:val="1"/>
      <w:numFmt w:val="bullet"/>
      <w:lvlText w:val=""/>
      <w:lvlJc w:val="left"/>
      <w:pPr>
        <w:ind w:left="6520" w:hanging="360"/>
      </w:pPr>
      <w:rPr>
        <w:rFonts w:ascii="Wingdings" w:hAnsi="Wingdings" w:hint="default"/>
      </w:rPr>
    </w:lvl>
    <w:lvl w:ilvl="6" w:tplc="04070001" w:tentative="1">
      <w:start w:val="1"/>
      <w:numFmt w:val="bullet"/>
      <w:lvlText w:val=""/>
      <w:lvlJc w:val="left"/>
      <w:pPr>
        <w:ind w:left="7240" w:hanging="360"/>
      </w:pPr>
      <w:rPr>
        <w:rFonts w:ascii="Symbol" w:hAnsi="Symbol" w:hint="default"/>
      </w:rPr>
    </w:lvl>
    <w:lvl w:ilvl="7" w:tplc="04070003" w:tentative="1">
      <w:start w:val="1"/>
      <w:numFmt w:val="bullet"/>
      <w:lvlText w:val="o"/>
      <w:lvlJc w:val="left"/>
      <w:pPr>
        <w:ind w:left="7960" w:hanging="360"/>
      </w:pPr>
      <w:rPr>
        <w:rFonts w:ascii="Courier New" w:hAnsi="Courier New" w:cs="Courier New" w:hint="default"/>
      </w:rPr>
    </w:lvl>
    <w:lvl w:ilvl="8" w:tplc="04070005" w:tentative="1">
      <w:start w:val="1"/>
      <w:numFmt w:val="bullet"/>
      <w:lvlText w:val=""/>
      <w:lvlJc w:val="left"/>
      <w:pPr>
        <w:ind w:left="8680" w:hanging="360"/>
      </w:pPr>
      <w:rPr>
        <w:rFonts w:ascii="Wingdings" w:hAnsi="Wingdings" w:hint="default"/>
      </w:rPr>
    </w:lvl>
  </w:abstractNum>
  <w:abstractNum w:abstractNumId="18">
    <w:nsid w:val="7E7E7B60"/>
    <w:multiLevelType w:val="hybridMultilevel"/>
    <w:tmpl w:val="C6EC02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7"/>
  </w:num>
  <w:num w:numId="4">
    <w:abstractNumId w:val="14"/>
  </w:num>
  <w:num w:numId="5">
    <w:abstractNumId w:val="4"/>
  </w:num>
  <w:num w:numId="6">
    <w:abstractNumId w:val="15"/>
  </w:num>
  <w:num w:numId="7">
    <w:abstractNumId w:val="16"/>
  </w:num>
  <w:num w:numId="8">
    <w:abstractNumId w:val="2"/>
  </w:num>
  <w:num w:numId="9">
    <w:abstractNumId w:val="13"/>
  </w:num>
  <w:num w:numId="10">
    <w:abstractNumId w:val="9"/>
  </w:num>
  <w:num w:numId="11">
    <w:abstractNumId w:val="3"/>
  </w:num>
  <w:num w:numId="12">
    <w:abstractNumId w:val="0"/>
  </w:num>
  <w:num w:numId="13">
    <w:abstractNumId w:val="12"/>
  </w:num>
  <w:num w:numId="14">
    <w:abstractNumId w:val="17"/>
  </w:num>
  <w:num w:numId="15">
    <w:abstractNumId w:val="1"/>
  </w:num>
  <w:num w:numId="16">
    <w:abstractNumId w:val="10"/>
  </w:num>
  <w:num w:numId="17">
    <w:abstractNumId w:val="11"/>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3F"/>
    <w:rsid w:val="000409F4"/>
    <w:rsid w:val="0023012C"/>
    <w:rsid w:val="00274A5A"/>
    <w:rsid w:val="0028673B"/>
    <w:rsid w:val="002A788F"/>
    <w:rsid w:val="003A704F"/>
    <w:rsid w:val="00420FE7"/>
    <w:rsid w:val="005C53A0"/>
    <w:rsid w:val="007A1D85"/>
    <w:rsid w:val="007A6A78"/>
    <w:rsid w:val="008331EA"/>
    <w:rsid w:val="0087523F"/>
    <w:rsid w:val="00C03309"/>
    <w:rsid w:val="00D0605D"/>
    <w:rsid w:val="00E60491"/>
    <w:rsid w:val="00EB2FC0"/>
    <w:rsid w:val="00EE5FF9"/>
    <w:rsid w:val="00EF2015"/>
    <w:rsid w:val="00F140A0"/>
    <w:rsid w:val="00F83D1E"/>
    <w:rsid w:val="00FA0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752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523F"/>
    <w:rPr>
      <w:rFonts w:ascii="Tahoma" w:hAnsi="Tahoma" w:cs="Tahoma"/>
      <w:sz w:val="16"/>
      <w:szCs w:val="16"/>
    </w:rPr>
  </w:style>
  <w:style w:type="paragraph" w:styleId="Listenabsatz">
    <w:name w:val="List Paragraph"/>
    <w:basedOn w:val="Standard"/>
    <w:uiPriority w:val="34"/>
    <w:qFormat/>
    <w:rsid w:val="0087523F"/>
    <w:pPr>
      <w:ind w:left="720"/>
      <w:contextualSpacing/>
    </w:pPr>
  </w:style>
  <w:style w:type="table" w:styleId="Tabellenraster">
    <w:name w:val="Table Grid"/>
    <w:basedOn w:val="NormaleTabelle"/>
    <w:uiPriority w:val="59"/>
    <w:rsid w:val="0027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752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523F"/>
    <w:rPr>
      <w:rFonts w:ascii="Tahoma" w:hAnsi="Tahoma" w:cs="Tahoma"/>
      <w:sz w:val="16"/>
      <w:szCs w:val="16"/>
    </w:rPr>
  </w:style>
  <w:style w:type="paragraph" w:styleId="Listenabsatz">
    <w:name w:val="List Paragraph"/>
    <w:basedOn w:val="Standard"/>
    <w:uiPriority w:val="34"/>
    <w:qFormat/>
    <w:rsid w:val="0087523F"/>
    <w:pPr>
      <w:ind w:left="720"/>
      <w:contextualSpacing/>
    </w:pPr>
  </w:style>
  <w:style w:type="table" w:styleId="Tabellenraster">
    <w:name w:val="Table Grid"/>
    <w:basedOn w:val="NormaleTabelle"/>
    <w:uiPriority w:val="59"/>
    <w:rsid w:val="0027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0739-E0A9-41E9-9E05-FF406066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8052</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Rotherm</dc:creator>
  <cp:lastModifiedBy>Claudia Tenk</cp:lastModifiedBy>
  <cp:revision>2</cp:revision>
  <cp:lastPrinted>2014-11-24T17:25:00Z</cp:lastPrinted>
  <dcterms:created xsi:type="dcterms:W3CDTF">2015-03-02T10:23:00Z</dcterms:created>
  <dcterms:modified xsi:type="dcterms:W3CDTF">2015-03-02T10:23:00Z</dcterms:modified>
</cp:coreProperties>
</file>